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kovacsreka10.15@gmail.com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Gaszner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Meiszterics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szív MRI szerepe a HCM fenokópiák differenciáldiagnosztikájában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cardiomyopathia, hypertrophiás cardiomyopathia, HCM fenokópiák, szív MRI, szöveti karakterizálás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új ESC-irányelv a cardiomyopathiák fenotípusos osztályozását javasolja, hangsúlyozva a szív</w:t>
      </w:r>
      <w:r>
        <w:rPr>
          <w:color w:val="000000"/>
          <w:sz w:val="24"/>
          <w:szCs w:val="24"/>
        </w:rPr>
        <w:br/>
        <w:t xml:space="preserve">MRI vizsgálat kiemelt szerepét az azonos fenotípussal bíró, különböző etiológiájú kórképek</w:t>
      </w:r>
      <w:r>
        <w:rPr>
          <w:color w:val="000000"/>
          <w:sz w:val="24"/>
          <w:szCs w:val="24"/>
        </w:rPr>
        <w:br/>
        <w:t xml:space="preserve">differenciálásában. A balkamra-hypertrophiával jellemezhető, primér szívizombetegségként</w:t>
      </w:r>
      <w:r>
        <w:rPr>
          <w:color w:val="000000"/>
          <w:sz w:val="24"/>
          <w:szCs w:val="24"/>
        </w:rPr>
        <w:br/>
        <w:t xml:space="preserve">definiált hypertrophiás cardiomyopathia (HCM) és az egyéb HCM fenokópiák (amyloidosis,</w:t>
      </w:r>
      <w:r>
        <w:rPr>
          <w:color w:val="000000"/>
          <w:sz w:val="24"/>
          <w:szCs w:val="24"/>
        </w:rPr>
        <w:br/>
        <w:t xml:space="preserve">Fabry-kór) elkülönítésében a szív MRI jelentős segítséget nyújt a szív morfológiai, funkcionális</w:t>
      </w:r>
      <w:r>
        <w:rPr>
          <w:color w:val="000000"/>
          <w:sz w:val="24"/>
          <w:szCs w:val="24"/>
        </w:rPr>
        <w:br/>
        <w:t xml:space="preserve">és szöveti karakterizálása révén.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Retrospektív kutatásunk során, 2019 és 2024 között a Pécsi Diagnosztikai Központ, Siemens</w:t>
      </w:r>
      <w:r>
        <w:rPr>
          <w:color w:val="000000"/>
          <w:sz w:val="24"/>
          <w:szCs w:val="24"/>
        </w:rPr>
        <w:br/>
        <w:t xml:space="preserve">Magnetom Avanto fit 1.5 T készülékén végzett szív MRI vizsgálatokat elemeztük, különös</w:t>
      </w:r>
      <w:r>
        <w:rPr>
          <w:color w:val="000000"/>
          <w:sz w:val="24"/>
          <w:szCs w:val="24"/>
        </w:rPr>
        <w:br/>
        <w:t xml:space="preserve">tekintettel a bal kamra hypertrophiával járó cardiomyopathiás esetekre. Meghatároztuk a bal</w:t>
      </w:r>
      <w:r>
        <w:rPr>
          <w:color w:val="000000"/>
          <w:sz w:val="24"/>
          <w:szCs w:val="24"/>
        </w:rPr>
        <w:br/>
        <w:t xml:space="preserve">kamrai volumetrikus és funkcionális paramétereket, a fibrózist jelző késői típusú</w:t>
      </w:r>
      <w:r>
        <w:rPr>
          <w:color w:val="000000"/>
          <w:sz w:val="24"/>
          <w:szCs w:val="24"/>
        </w:rPr>
        <w:br/>
        <w:t xml:space="preserve">kontraszthalmozás mintázatát, valamint mapping technikák alkalmazásával a natív T1 és</w:t>
      </w:r>
      <w:r>
        <w:rPr>
          <w:color w:val="000000"/>
          <w:sz w:val="24"/>
          <w:szCs w:val="24"/>
        </w:rPr>
        <w:br/>
        <w:t xml:space="preserve">extracelluláris volumen (ECV) értékeket.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5 éves vizsgálati időszakban 96 beteget referáltak szív MRI elvégzésére HCM fenotípus</w:t>
      </w:r>
      <w:r>
        <w:rPr>
          <w:color w:val="000000"/>
          <w:sz w:val="24"/>
          <w:szCs w:val="24"/>
        </w:rPr>
        <w:br/>
        <w:t xml:space="preserve">iránydiagnózissal. Ezen betegek körében 65,6 %-ban HCM-et, 8,3 %-ban amyloidosist, 7,3 %-</w:t>
      </w:r>
      <w:r>
        <w:rPr>
          <w:color w:val="000000"/>
          <w:sz w:val="24"/>
          <w:szCs w:val="24"/>
        </w:rPr>
        <w:br/>
        <w:t xml:space="preserve">ban Fabry betegséget igazoltunk. A betegek 11,5 %-ában érdemi bal kamra hypertrophia nem volt</w:t>
      </w:r>
      <w:r>
        <w:rPr>
          <w:color w:val="000000"/>
          <w:sz w:val="24"/>
          <w:szCs w:val="24"/>
        </w:rPr>
        <w:br/>
        <w:t xml:space="preserve">detektálható, míg 7,3 %-ban a hypertrophia mértéke nem merítette ki a HCM diagnosztikus</w:t>
      </w:r>
      <w:r>
        <w:rPr>
          <w:color w:val="000000"/>
          <w:sz w:val="24"/>
          <w:szCs w:val="24"/>
        </w:rPr>
        <w:br/>
        <w:t xml:space="preserve">kritériumát. A betegségcsoportok a maximális bal kamrai falvastagság és bal kamrai izomtömeg</w:t>
      </w:r>
      <w:r>
        <w:rPr>
          <w:color w:val="000000"/>
          <w:sz w:val="24"/>
          <w:szCs w:val="24"/>
        </w:rPr>
        <w:br/>
        <w:t xml:space="preserve">indexált értékeiben, valamint a fibrotikus eltérések mintázatában mutattak szignifikáns</w:t>
      </w:r>
      <w:r>
        <w:rPr>
          <w:color w:val="000000"/>
          <w:sz w:val="24"/>
          <w:szCs w:val="24"/>
        </w:rPr>
        <w:br/>
        <w:t xml:space="preserve">eltéréseket.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szív MRI által nyújtott diagnosztikai és prognosztikai információk segítik a HCM fenokópiák</w:t>
      </w:r>
      <w:r>
        <w:rPr>
          <w:color w:val="000000"/>
          <w:sz w:val="24"/>
          <w:szCs w:val="24"/>
        </w:rPr>
        <w:br/>
        <w:t xml:space="preserve">pontos diagnózisát, lehetővé téve a jelenleg már Magyarországon is egyre inkább elérhető,</w:t>
      </w:r>
      <w:r>
        <w:rPr>
          <w:color w:val="000000"/>
          <w:sz w:val="24"/>
          <w:szCs w:val="24"/>
        </w:rPr>
        <w:br/>
        <w:t xml:space="preserve">betegségspecifikus kezelési stratégiák mielőbbi 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63660">
    <w:multiLevelType w:val="hybridMultilevel"/>
    <w:lvl w:ilvl="0" w:tplc="75260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63660">
    <w:abstractNumId w:val="10963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412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