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pappcsenge20010915@gmail.com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szakorvos,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Elülső keresztszalag pótlást követő meniscus sérülések előfordulása sportolóknál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keresztszalag rekonstrukció; meniscus szakadás; sportolók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Sportolók körében az elülső keresztszalag-szakadás incidenciája növekvő tendenciát mutat, napjainkra ezen szalag rekonstrukciója vált az egyik leggyakrabban elvégzett műtétté a mozgásszervi sebészetben. A szalagpótlást követően a rotációs stabilitás csökkenhet, ennek következtében fokozódhat a másodlagos sérülések - mint a meniscus ruptúra és az elülső keresztszalag (LCA) graft sérülés, elégtelenség - veszélye, mely tovább nehezíti a sportolók számára a sérülés előtti szintre való visszatérést.</w:t>
      </w:r>
      <w:r>
        <w:rPr>
          <w:color w:val="000000"/>
          <w:sz w:val="24"/>
          <w:szCs w:val="24"/>
        </w:rPr>
        <w:br/>
        <w:t xml:space="preserve">Módszerek: Retrospektív vizsgálat során a klinikánkon 2016 és 2024 között elülső keresztszalag pótláson átesett, majd ezt követően meniscus szakadást szenvedő pánciensek adatait dolgoztuk fel.</w:t>
      </w:r>
      <w:r>
        <w:rPr>
          <w:color w:val="000000"/>
          <w:sz w:val="24"/>
          <w:szCs w:val="24"/>
        </w:rPr>
        <w:br/>
        <w:t xml:space="preserve">Eredmények: Összesen 226 elülső keresztszalag pótláson átesett (90 nő, 136 férfi, átlagéletkor: 29,5 év) beteget vizsgáltunk, közülük LCA pótlás után 23 esetben meniscus szakadás, illetve sérülés következett be. A meniscus sérülés és az elülső keresztszalag műtét között átlagosan 961 nap (2,6 év) telt el. A sérültek közel 80%-a hivatásos vagy amatőr sportoló volt. A fenti beteganyagban a szalagplasztikák 10,2 %-ában került sor újabb műtétre meniscus szakadás miatt.</w:t>
      </w:r>
      <w:r>
        <w:rPr>
          <w:color w:val="000000"/>
          <w:sz w:val="24"/>
          <w:szCs w:val="24"/>
        </w:rPr>
        <w:br/>
        <w:t xml:space="preserve">Következtetés: Klinikánkon az elülső keresztszalag pótlást követő meniscus sérülések előfordulási aránya a nemzetközi irodalomban szereplő arányokkal megegyező. Eredményeink felvetik a kiegészítő, nagyobb rotációs stabilitást biztosító műtéti eljárások bevezetésének szükségességét, különösképpen a hirtelen irányváltást igénylő sportágakban előforduló keresztszalag-sérülések ellátása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328939">
    <w:multiLevelType w:val="hybridMultilevel"/>
    <w:lvl w:ilvl="0" w:tplc="95423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328939">
    <w:abstractNumId w:val="823289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38913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