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ROSA HELENA RUBINA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rubirosa2000@gmail.com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Fülesdiné Prof. Dr. Molnár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Szántó Dorottya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haemoglobin szint kapcsolata a neurológiai állapot súlyosságával, a vasospasmus megjelenésével, valamint a kimenetellel subarachnoidealis vérzésben szenvedő betegekben - prospektív eset-sorozat vizsgálat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subarachnoidealis vérzés, anaemia, HGB drift, cerebralis vasospasmus, kimenetel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nem-traumás subarachnoidealis vérzés (SAV) halálozási aránya 45-55%. A halálozásban, valamint a túlélők életminőségének alakulásában jelentős szerepe van a cerebralis vasospasmus (VS) megjelenésének. A SAV-ban szenvedő betegekben gyakran alakul ki anaemia a betegséglefolyás során, azonban kevés adat áll rendelkezésünkre arról, hogy a haemoglobin (HGB) szint csökkenése milyen kapcsolatban áll a VS megjelenésével, illetve a kimenetellel.</w:t>
      </w:r>
      <w:r>
        <w:rPr>
          <w:color w:val="000000"/>
          <w:sz w:val="24"/>
          <w:szCs w:val="24"/>
        </w:rPr>
        <w:br/>
        <w:t xml:space="preserve">Célkitűzések: Célunk az anaemia (HGB&lt;90 g/dL) és a HGBdrift (a kiindulási HGB érték százalékos csökkenése) kapcsolatának felmérése volt a SAV kiterjedésével (modified Fischer scale - mFischer), a neurológiai állapot súlyosságával (World Federation of Neurosurgical Societies score – WFNS), a VS megjelenésével és a kimenetellel (modified Rankin Scale - mRS).</w:t>
      </w:r>
      <w:r>
        <w:rPr>
          <w:color w:val="000000"/>
          <w:sz w:val="24"/>
          <w:szCs w:val="24"/>
        </w:rPr>
        <w:br/>
        <w:t xml:space="preserve">Betegek és módszerek: Prospektív vizsgálatunkba olyan SAV-ban szenvedő betegeket vontunk be, akik 2022.01.01. - 2024.09.31. között kerültek felvételre az DEKK Idegsebészeti Klinika intenzív osztályára. Kizárásra kerültek azok a betegek, akik nyílt műtétes aneurysma ellátásban (clip) részesültek. A betegek felvételekor rögzítettük a WFNS és mFischer skálákat. A vérzést követő 21. napig transcranialis color coded Doppler (TCCD) vizsgálattal monitoroztuk a VS (az arteria cerebi media-ban mért átlagos áramlási sebesség &gt;120 cm/s) megjelenését, a HGB szintet pedig kétnaponta ellenőriztük. A betegek kimenetelét a vérzést követő 90. napon mRS szerint rögzítettük.</w:t>
      </w:r>
      <w:r>
        <w:rPr>
          <w:color w:val="000000"/>
          <w:sz w:val="24"/>
          <w:szCs w:val="24"/>
        </w:rPr>
        <w:br/>
        <w:t xml:space="preserve">Eredmények: A vizsgálatba 85 beteget válogattunk be, a vérzés hátterében 61 esetben (72%) aneurysma állt, 24 esetben (28%) vérzésforrás nem igazolódott. Az átlagos HGBdrift 23.61 ± 14.44 volt. A magasabb HGBdrift szignifikáns összefüggést mutatott az aneurysmalis SAV-val (p&lt;0.001), a nagyobb kiterjedésű (mFischer 3-4) vérzéssel (p&lt;0.001), a súlyosabb (WFNS 4-5) neurológiai állapottal (p=0.001), a VS megjelenésével (p=0.017) és a rosszabb (mRS&gt;3) kimenetellel (p&lt;0.001). Anaemia 23 beteg (27%) esetében alakult ki, melynek megjelenése szignifikáns összefüggést mutatott az aneurysmalis SAV-val (p=0.027), a súlyosabb neurológiai állapottal (p=0.011) és a rosszabb kimenetellel (p=0.001).</w:t>
      </w:r>
      <w:r>
        <w:rPr>
          <w:color w:val="000000"/>
          <w:sz w:val="24"/>
          <w:szCs w:val="24"/>
        </w:rPr>
        <w:br/>
        <w:t xml:space="preserve">Következtetések: Eredményeink alapján a HGBdrift és az anaemia összefüggést mutat a súlyosabb neurológiai állapottal, a VS megjelenésével és a rosszabb kimenetellel. Vizsgálatunk alapján felmerül, hogy a magasabb HGB célérték hozzájárulhat a kimenetel javításához, azonban ennek igazolására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911859">
    <w:multiLevelType w:val="hybridMultilevel"/>
    <w:lvl w:ilvl="0" w:tplc="898874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911859">
    <w:abstractNumId w:val="979118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31508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