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ARJUN HARISH KUMAR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arjnhk@gmail.com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Vágó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hypoxia cirkadián óraszinkronizációban betöltött szerepének vizsgálata a porcfejlődés folyamata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Hypoxia;Chondrogenesis;Osteoarthritis;Cartilage;Circadian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Cartilage is avascular connective tissue that thrives in a hypoxic microenvironment, where</w:t>
      </w:r>
      <w:r>
        <w:rPr>
          <w:color w:val="000000"/>
          <w:sz w:val="24"/>
          <w:szCs w:val="24"/>
        </w:rPr>
        <w:br/>
        <w:t xml:space="preserve">oxygen levels are naturally low. Hypoxia-inducible factors (HIFs) play a pivotal role in</w:t>
      </w:r>
      <w:r>
        <w:rPr>
          <w:color w:val="000000"/>
          <w:sz w:val="24"/>
          <w:szCs w:val="24"/>
        </w:rPr>
        <w:br/>
        <w:t xml:space="preserve">chondroprogenitor cell differentiation, thus therapeutic avenues for cartilage disorders like</w:t>
      </w:r>
      <w:r>
        <w:rPr>
          <w:color w:val="000000"/>
          <w:sz w:val="24"/>
          <w:szCs w:val="24"/>
        </w:rPr>
        <w:br/>
        <w:t xml:space="preserve">osteoarthritis may be centred on replicating the effects of HIFs. Notably, HIFs modulate the</w:t>
      </w:r>
      <w:r>
        <w:rPr>
          <w:color w:val="000000"/>
          <w:sz w:val="24"/>
          <w:szCs w:val="24"/>
        </w:rPr>
        <w:br/>
        <w:t xml:space="preserve">circadian clock, the master regulator, governing a variety of physiological processses within</w:t>
      </w:r>
      <w:r>
        <w:rPr>
          <w:color w:val="000000"/>
          <w:sz w:val="24"/>
          <w:szCs w:val="24"/>
        </w:rPr>
        <w:br/>
        <w:t xml:space="preserve">an approximately 24-hour cycle, thereby synchronising secondary oscillators in peripheral</w:t>
      </w:r>
      <w:r>
        <w:rPr>
          <w:color w:val="000000"/>
          <w:sz w:val="24"/>
          <w:szCs w:val="24"/>
        </w:rPr>
        <w:br/>
        <w:t xml:space="preserve">tissues such as articulate cartilage. This study employs a hypoxic incubator to establish a</w:t>
      </w:r>
      <w:r>
        <w:rPr>
          <w:color w:val="000000"/>
          <w:sz w:val="24"/>
          <w:szCs w:val="24"/>
        </w:rPr>
        <w:br/>
        <w:t xml:space="preserve">controlled low-oxygen environment, offering a physiologically relevant model to study the</w:t>
      </w:r>
      <w:r>
        <w:rPr>
          <w:color w:val="000000"/>
          <w:sz w:val="24"/>
          <w:szCs w:val="24"/>
        </w:rPr>
        <w:br/>
        <w:t xml:space="preserve">interaction between hypoxia and circadian clock regulation.</w:t>
      </w:r>
      <w:r>
        <w:rPr>
          <w:color w:val="000000"/>
          <w:sz w:val="24"/>
          <w:szCs w:val="24"/>
        </w:rPr>
        <w:br/>
        <w:t xml:space="preserve">Chondroprogenitor cells isolated from the limb buds of 4.5-day-old chicken embryos were</w:t>
      </w:r>
      <w:r>
        <w:rPr>
          <w:color w:val="000000"/>
          <w:sz w:val="24"/>
          <w:szCs w:val="24"/>
        </w:rPr>
        <w:br/>
        <w:t xml:space="preserve">used to establish high- density (HD) cultures. Cultures were exposed to hypoxic conditions</w:t>
      </w:r>
      <w:r>
        <w:rPr>
          <w:color w:val="000000"/>
          <w:sz w:val="24"/>
          <w:szCs w:val="24"/>
        </w:rPr>
        <w:br/>
        <w:t xml:space="preserve">(1% O2, 10% CO2) during the early stage of in vitro chondrogenesis. Samples were</w:t>
      </w:r>
      <w:r>
        <w:rPr>
          <w:color w:val="000000"/>
          <w:sz w:val="24"/>
          <w:szCs w:val="24"/>
        </w:rPr>
        <w:br/>
        <w:t xml:space="preserve">harvested at specific time points representing specific stages of chondrification. Cartilage</w:t>
      </w:r>
      <w:r>
        <w:rPr>
          <w:color w:val="000000"/>
          <w:sz w:val="24"/>
          <w:szCs w:val="24"/>
        </w:rPr>
        <w:br/>
        <w:t xml:space="preserve">formation was assessed using dimethyl-methylene blue (DMMB) staining to detect</w:t>
      </w:r>
      <w:r>
        <w:rPr>
          <w:color w:val="000000"/>
          <w:sz w:val="24"/>
          <w:szCs w:val="24"/>
        </w:rPr>
        <w:br/>
        <w:t xml:space="preserve">cartilage-specific extracellular matrix formation. Cell viability was assessed using the MTT</w:t>
      </w:r>
      <w:r>
        <w:rPr>
          <w:color w:val="000000"/>
          <w:sz w:val="24"/>
          <w:szCs w:val="24"/>
        </w:rPr>
        <w:br/>
        <w:t xml:space="preserve">Assay to confirm hypoxia tolerance. Real- time quantitative polymerase chain reaction (RT-</w:t>
      </w:r>
      <w:r>
        <w:rPr>
          <w:color w:val="000000"/>
          <w:sz w:val="24"/>
          <w:szCs w:val="24"/>
        </w:rPr>
        <w:br/>
        <w:t xml:space="preserve">qPCR) was performed to quantify mRNA expression of chondrogenic markers (SOX9,</w:t>
      </w:r>
      <w:r>
        <w:rPr>
          <w:color w:val="000000"/>
          <w:sz w:val="24"/>
          <w:szCs w:val="24"/>
        </w:rPr>
        <w:br/>
        <w:t xml:space="preserve">COL2A1, ACAN), circadian clock genes (BMAL1, PER2, CRY1), and one hypoxia</w:t>
      </w:r>
      <w:r>
        <w:rPr>
          <w:color w:val="000000"/>
          <w:sz w:val="24"/>
          <w:szCs w:val="24"/>
        </w:rPr>
        <w:br/>
        <w:t xml:space="preserve">responsive gene (HIF-1A).</w:t>
      </w:r>
      <w:r>
        <w:rPr>
          <w:color w:val="000000"/>
          <w:sz w:val="24"/>
          <w:szCs w:val="24"/>
        </w:rPr>
        <w:br/>
        <w:t xml:space="preserve">While results of the MTT assay showed that the differentiating cells tolerated the hypoxic</w:t>
      </w:r>
      <w:r>
        <w:rPr>
          <w:color w:val="000000"/>
          <w:sz w:val="24"/>
          <w:szCs w:val="24"/>
        </w:rPr>
        <w:br/>
        <w:t xml:space="preserve">treatment well and no significant change was examined, the DMMB stained HD cultures</w:t>
      </w:r>
      <w:r>
        <w:rPr>
          <w:color w:val="000000"/>
          <w:sz w:val="24"/>
          <w:szCs w:val="24"/>
        </w:rPr>
        <w:br/>
        <w:t xml:space="preserve">exhibited stronger metachromasia after the treatment, indicating an elevated level of</w:t>
      </w:r>
      <w:r>
        <w:rPr>
          <w:color w:val="000000"/>
          <w:sz w:val="24"/>
          <w:szCs w:val="24"/>
        </w:rPr>
        <w:br/>
        <w:t xml:space="preserve">extracellular matrix production. Upon the analysation of the chondrogenic, clock and</w:t>
      </w:r>
      <w:r>
        <w:rPr>
          <w:color w:val="000000"/>
          <w:sz w:val="24"/>
          <w:szCs w:val="24"/>
        </w:rPr>
        <w:br/>
        <w:t xml:space="preserve">hypoxia responsive marker genes, unambiguous oscillations were discovered in the</w:t>
      </w:r>
      <w:r>
        <w:rPr>
          <w:color w:val="000000"/>
          <w:sz w:val="24"/>
          <w:szCs w:val="24"/>
        </w:rPr>
        <w:br/>
        <w:t xml:space="preserve">expression patterns, meaning that the hypoxic treatment induced the synchronization of the</w:t>
      </w:r>
      <w:r>
        <w:rPr>
          <w:color w:val="000000"/>
          <w:sz w:val="24"/>
          <w:szCs w:val="24"/>
        </w:rPr>
        <w:br/>
        <w:t xml:space="preserve">molecular clockwork in the differentiating chondrocytes.</w:t>
      </w:r>
      <w:r>
        <w:rPr>
          <w:color w:val="000000"/>
          <w:sz w:val="24"/>
          <w:szCs w:val="24"/>
        </w:rPr>
        <w:br/>
        <w:t xml:space="preserve">We can conclude that the hypoxic environment had a positive effect on in vitro cartilage</w:t>
      </w:r>
      <w:r>
        <w:rPr>
          <w:color w:val="000000"/>
          <w:sz w:val="24"/>
          <w:szCs w:val="24"/>
        </w:rPr>
        <w:br/>
        <w:t xml:space="preserve">formation, if it was applied during the early stage of chondrogenesis. Altering the hypoxia-</w:t>
      </w:r>
      <w:r>
        <w:rPr>
          <w:color w:val="000000"/>
          <w:sz w:val="24"/>
          <w:szCs w:val="24"/>
        </w:rPr>
        <w:br/>
        <w:t xml:space="preserve">dependent signaling pathways in chondroprogenitor cells may have an important role in the</w:t>
      </w:r>
      <w:r>
        <w:rPr>
          <w:color w:val="000000"/>
          <w:sz w:val="24"/>
          <w:szCs w:val="24"/>
        </w:rPr>
        <w:br/>
        <w:t xml:space="preserve">generation of high-quality hyaline cartilage.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77557">
    <w:multiLevelType w:val="hybridMultilevel"/>
    <w:lvl w:ilvl="0" w:tplc="52430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77557">
    <w:abstractNumId w:val="339775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762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