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LILI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blifruzsi@gmail.com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Hajdú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Patrik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copine-ok, mint potenciális biomarkerek vizsgálata humán epidermális melanocitákban és melanóma sejtekben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Copine; biomarker; melanóma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copine-ok (CPNE) szolubilis vagy membrán-kötött, kalcium-függő és foszfolipid-kötő</w:t>
      </w:r>
      <w:r>
        <w:rPr>
          <w:color w:val="000000"/>
          <w:sz w:val="24"/>
          <w:szCs w:val="24"/>
        </w:rPr>
        <w:br/>
        <w:t xml:space="preserve">tulajdonságokkal rendelkező proteinek. Szerepük elsősorban jelátviteli folyamatokban,</w:t>
      </w:r>
      <w:r>
        <w:rPr>
          <w:color w:val="000000"/>
          <w:sz w:val="24"/>
          <w:szCs w:val="24"/>
        </w:rPr>
        <w:br/>
        <w:t xml:space="preserve">illetve membránok transzportjában van. A fehérjecsalád kilenc taggal rendelkezik (CPNE1-</w:t>
      </w:r>
      <w:r>
        <w:rPr>
          <w:color w:val="000000"/>
          <w:sz w:val="24"/>
          <w:szCs w:val="24"/>
        </w:rPr>
        <w:br/>
        <w:t xml:space="preserve">9), amelyek közül laboratóriumunk nyolcat (CPNE2-9) azonosított humán epidermális</w:t>
      </w:r>
      <w:r>
        <w:rPr>
          <w:color w:val="000000"/>
          <w:sz w:val="24"/>
          <w:szCs w:val="24"/>
        </w:rPr>
        <w:br/>
        <w:t xml:space="preserve">melanocitákban egészséges és daganatos pigmentsejtek sejtfelszíni fehérjéinek</w:t>
      </w:r>
      <w:r>
        <w:rPr>
          <w:color w:val="000000"/>
          <w:sz w:val="24"/>
          <w:szCs w:val="24"/>
        </w:rPr>
        <w:br/>
        <w:t xml:space="preserve">összehasonlító tömegspektrometriai vizsgálatai során. A UniProt adatbázis és az irodalom</w:t>
      </w:r>
      <w:r>
        <w:rPr>
          <w:color w:val="000000"/>
          <w:sz w:val="24"/>
          <w:szCs w:val="24"/>
        </w:rPr>
        <w:br/>
        <w:t xml:space="preserve">kevés információval rendelkezik a copine- okról melanocitákban, míg melanóma sejtekről</w:t>
      </w:r>
      <w:r>
        <w:rPr>
          <w:color w:val="000000"/>
          <w:sz w:val="24"/>
          <w:szCs w:val="24"/>
        </w:rPr>
        <w:br/>
        <w:t xml:space="preserve">egyáltalán nincsenek adatok. Jelen munkánk célja, hogy vizsgálatainkkal egészséges és</w:t>
      </w:r>
      <w:r>
        <w:rPr>
          <w:color w:val="000000"/>
          <w:sz w:val="24"/>
          <w:szCs w:val="24"/>
        </w:rPr>
        <w:br/>
        <w:t xml:space="preserve">daganatos pigmentsejtekben pontos képet kapjunk az egyes copine-ok expressziójáról és</w:t>
      </w:r>
      <w:r>
        <w:rPr>
          <w:color w:val="000000"/>
          <w:sz w:val="24"/>
          <w:szCs w:val="24"/>
        </w:rPr>
        <w:br/>
        <w:t xml:space="preserve">sejten belüli lokalizációjáról.</w:t>
      </w:r>
      <w:r>
        <w:rPr>
          <w:color w:val="000000"/>
          <w:sz w:val="24"/>
          <w:szCs w:val="24"/>
        </w:rPr>
        <w:br/>
        <w:t xml:space="preserve">Kísérleteinkhez általunk humán bőrből izolált melanocitákat, valamint in situ (WM35) és</w:t>
      </w:r>
      <w:r>
        <w:rPr>
          <w:color w:val="000000"/>
          <w:sz w:val="24"/>
          <w:szCs w:val="24"/>
        </w:rPr>
        <w:br/>
        <w:t xml:space="preserve">metasztatikus melanómából (A2058) létrehozott sejtvonalakat alkalmaztunk. A copine-ok</w:t>
      </w:r>
      <w:r>
        <w:rPr>
          <w:color w:val="000000"/>
          <w:sz w:val="24"/>
          <w:szCs w:val="24"/>
        </w:rPr>
        <w:br/>
        <w:t xml:space="preserve">mRNS expressziós vizsgálatához primereket terveztünk, majd a melanociták és melanóma</w:t>
      </w:r>
      <w:r>
        <w:rPr>
          <w:color w:val="000000"/>
          <w:sz w:val="24"/>
          <w:szCs w:val="24"/>
        </w:rPr>
        <w:br/>
        <w:t xml:space="preserve">sejtek copine expressziós mintázatait RT-qPCR segítségével határoztuk meg. A</w:t>
      </w:r>
      <w:r>
        <w:rPr>
          <w:color w:val="000000"/>
          <w:sz w:val="24"/>
          <w:szCs w:val="24"/>
        </w:rPr>
        <w:br/>
        <w:t xml:space="preserve">fehérjeexpresszió vizsgálatához western blotokat végeztünk teljes sejtlizátumokon,</w:t>
      </w:r>
      <w:r>
        <w:rPr>
          <w:color w:val="000000"/>
          <w:sz w:val="24"/>
          <w:szCs w:val="24"/>
        </w:rPr>
        <w:br/>
        <w:t xml:space="preserve">amelyek során a CPNE3, 6 és 7 kifejeződését ellenőriztük. Az analízis igazolta a vizsgált</w:t>
      </w:r>
      <w:r>
        <w:rPr>
          <w:color w:val="000000"/>
          <w:sz w:val="24"/>
          <w:szCs w:val="24"/>
        </w:rPr>
        <w:br/>
        <w:t xml:space="preserve">fehérjék expresszióját valamennyi sejtkultúrában. A CPNE3 és 6 esetében a melanóma</w:t>
      </w:r>
      <w:r>
        <w:rPr>
          <w:color w:val="000000"/>
          <w:sz w:val="24"/>
          <w:szCs w:val="24"/>
        </w:rPr>
        <w:br/>
        <w:t xml:space="preserve">sejtekben erősebb kemilumineszcens szignálokat kaptunk a melanocitákhoz képest, míg a</w:t>
      </w:r>
      <w:r>
        <w:rPr>
          <w:color w:val="000000"/>
          <w:sz w:val="24"/>
          <w:szCs w:val="24"/>
        </w:rPr>
        <w:br/>
        <w:t xml:space="preserve">CPNE7 expressziójában nem tapasztaltunk különbséget. Az immuncitokémiai reakciókat</w:t>
      </w:r>
      <w:r>
        <w:rPr>
          <w:color w:val="000000"/>
          <w:sz w:val="24"/>
          <w:szCs w:val="24"/>
        </w:rPr>
        <w:br/>
        <w:t xml:space="preserve">követő konfokális mikroszkópos elemzések a CPNE3, 6 és 7 erősebb immunpozitivitását</w:t>
      </w:r>
      <w:r>
        <w:rPr>
          <w:color w:val="000000"/>
          <w:sz w:val="24"/>
          <w:szCs w:val="24"/>
        </w:rPr>
        <w:br/>
        <w:t xml:space="preserve">igazolták a melanóma sejtekben a melanocitákhoz viszonyítva. Az immunfluoreszcens</w:t>
      </w:r>
      <w:r>
        <w:rPr>
          <w:color w:val="000000"/>
          <w:sz w:val="24"/>
          <w:szCs w:val="24"/>
        </w:rPr>
        <w:br/>
        <w:t xml:space="preserve">jelek diffúz eloszlást mutattak, ugyanakkor a CPNE7 inkább a melanociták nyúlványaiban,</w:t>
      </w:r>
      <w:r>
        <w:rPr>
          <w:color w:val="000000"/>
          <w:sz w:val="24"/>
          <w:szCs w:val="24"/>
        </w:rPr>
        <w:br/>
        <w:t xml:space="preserve">míg a CPNE6 a metasztatikus sejtek plazmamembránjához közeli területeken halmozódott.</w:t>
      </w:r>
      <w:r>
        <w:rPr>
          <w:color w:val="000000"/>
          <w:sz w:val="24"/>
          <w:szCs w:val="24"/>
        </w:rPr>
        <w:br/>
        <w:t xml:space="preserve">Munkánkkal humán melanóma sejtekben elsőként igazoltuk a copine-ok jelenlétét, továbbá</w:t>
      </w:r>
      <w:r>
        <w:rPr>
          <w:color w:val="000000"/>
          <w:sz w:val="24"/>
          <w:szCs w:val="24"/>
        </w:rPr>
        <w:br/>
        <w:t xml:space="preserve">pontos képet kaptunk az egészséges és daganatos pigmentsejtek copine expressziós</w:t>
      </w:r>
      <w:r>
        <w:rPr>
          <w:color w:val="000000"/>
          <w:sz w:val="24"/>
          <w:szCs w:val="24"/>
        </w:rPr>
        <w:br/>
        <w:t xml:space="preserve">mintázatai közötti eltérésekről. Kísérletes tapasztalataink hozzájárulhatnak klinikailag</w:t>
      </w:r>
      <w:r>
        <w:rPr>
          <w:color w:val="000000"/>
          <w:sz w:val="24"/>
          <w:szCs w:val="24"/>
        </w:rPr>
        <w:br/>
        <w:t xml:space="preserve">releváns új biomarkerek azonosításához, amelyek a melanóma korai azonosításában,</w:t>
      </w:r>
      <w:r>
        <w:rPr>
          <w:color w:val="000000"/>
          <w:sz w:val="24"/>
          <w:szCs w:val="24"/>
        </w:rPr>
        <w:br/>
        <w:t xml:space="preserve">kezelésében vagy követésében nagy jelentőséggel bírhatnak.</w:t>
      </w:r>
      <w:r>
        <w:rPr>
          <w:color w:val="000000"/>
          <w:sz w:val="24"/>
          <w:szCs w:val="24"/>
        </w:rPr>
        <w:br/>
        <w:t xml:space="preserve">A KULTURÁLIS ÉS INNOVÁCIÓS MINISZTÉRIUM EKÖP-24-2-DE-103</w:t>
      </w:r>
      <w:r>
        <w:rPr>
          <w:color w:val="000000"/>
          <w:sz w:val="24"/>
          <w:szCs w:val="24"/>
        </w:rPr>
        <w:br/>
        <w:t xml:space="preserve">KÓDSZÁMÚ EGYETEMI KUTATÓI ÖSZTÖNDÍJ PROGRAMJÁNAK A NEMZETI</w:t>
      </w:r>
      <w:r>
        <w:rPr>
          <w:color w:val="000000"/>
          <w:sz w:val="24"/>
          <w:szCs w:val="24"/>
        </w:rPr>
        <w:br/>
        <w:t xml:space="preserve">KUTATÁSI, FEJLESZTÉSI ÉS INNOVÁCIÓS ALAPBÓL FINANSZÍROZOTT</w:t>
      </w:r>
      <w:r>
        <w:rPr>
          <w:color w:val="000000"/>
          <w:sz w:val="24"/>
          <w:szCs w:val="24"/>
        </w:rPr>
        <w:br/>
        <w:t xml:space="preserve">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98677">
    <w:multiLevelType w:val="hybridMultilevel"/>
    <w:lvl w:ilvl="0" w:tplc="88689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98677">
    <w:abstractNumId w:val="18298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111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