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CSAJBÓK FANNI</w:t>
            </w:r>
          </w:p>
          <w:p w:rsidR="00C275A3" w:rsidRDefault="00CA6B74" w:rsidP="00C275A3">
            <w:pPr>
              <w:pStyle w:val="Hallgatokepzes"/>
            </w:pPr>
            <w:r w:rsidRPr="001067CD">
              <w:rPr>
                <w:i/>
              </w:rPr>
              <w:t>csajbokfanni@gmail.com</w:t>
            </w:r>
            <w:r w:rsidRPr="001067CD">
              <w:rPr>
                <w:i/>
              </w:rPr>
              <w:br/>
            </w:r>
            <w:r w:rsidR="00A96AEC">
              <w:t>Általános orvos</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Clemens Marcell Gyula</w:t>
            </w:r>
          </w:p>
          <w:p w:rsidR="00DB4822" w:rsidRDefault="00DB4822" w:rsidP="00BA6BAF">
            <w:pPr>
              <w:pStyle w:val="Konzulensektitulus"/>
            </w:pPr>
            <w:r w:rsidRPr="00DB4822">
              <w:t>adjunktus,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sacubitril/valsartan terápia hatása a kamrai tachycardia katéterablációs kezelésének kimenetelére szívelégtelenségben szenvedő betegeknél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sacubitril/valsartan; katéterabláció; kamrai tachycardia; szívelégtelenség</w:t>
      </w:r>
      <w:r>
        <w:t xml:space="preserve"/>
      </w:r>
    </w:p>
    <w:p>
      <w:pPr>
        <w:widowControl w:val="on"/>
        <w:pBdr/>
        <w:spacing w:before="240" w:after="240" w:line="240" w:lineRule="auto"/>
        <w:ind w:left="0" w:right="0"/>
        <w:jc w:val="left"/>
      </w:pPr>
      <w:r>
        <w:rPr>
          <w:color w:val="000000"/>
          <w:sz w:val="24"/>
          <w:szCs w:val="24"/>
        </w:rPr>
        <w:t xml:space="preserve">Bevezetés: A sacubitril/valsartan (SV) kezelés a közelmúltban a szívelégtelenség terápiájának mérföldkövévé vált, ennek következtében a kezelt populációban jelentősen csökkent a hirtelen szívhalál és a kamrai aritmiák előfordulása. Kutatásunk célja, hogy összehasonlítsuk a SV-al és hagyományos gyógyszeres terápiával kezelt szívelégtelen betegek kamrai tachycardia ablációjának akut és hosszútávú kimenetelét. Módszer: Intézetünkben (DE Klinikai Központ) 2019-2024 között kezelt Implanted Cardioverter Defibrillator (ICD) készülékkel rendelkező szívelégtelen betegek kamrai tachycardia miatt végzett katéterablációs beavatkozás procedurális paramétereit és kimenetelét vizsgáltuk. A beavatkozás indikációja visszatérő monomorf kamrai tachycardia (mKT) epizódok, amelyek az antiaritmiás kezelés ellenére ICD terápiát igényeltek. Az akut beavatkozás sikerességét úgy definiáltuk, hogy az eljárás végén nem volt indukálható tartós mKT epizód (a posztablációs tesztet csak hemodinamikai instabilitás esetén nem végeztük el). Hosszú távon rekurrenciának az ICD terápiát igénylő epizódokat tekintettük. Eredmények: Összesen 76 katéterabláció történt 59 betegen (átlagéletkor 60±10,9 év, 50 férfi), melyek közül 22 beteg SV terápiában részesült. Az átlagos utánkövetési idő 17,6±20,3 hónap volt. Az SV-al kezelt betegek átlagosan fiatalabbak (60,3±11,9 vs. 66,7±9,3 év) és alacsonyabb bal kamrai ejekciós frakcióval rendelkeztek (24,6±6,2 vs. 30,9±8,8%), de ez nem volt prediktora az akut és hosszútávú sikernek a teljes vizsgálati kohorszban, p=NS. A beavatkozás során a SV terápiában részesülő betegek 53%-ában (17/32) többféle morfológiájú mKT indukálható, míg a kontroll csoportban mindössze 25%-ban (11/44) volt ugyanez megfigyelhető, p=0,01. A beavatkozások akut sikeressége 48% (13/27) az SV kezelés esetében, míg a hagyományos terápiában részesülők esetében 80% (32/40), p=0,007. A hosszútávú aritmiamentes túlélés szintén szignifikánsan rosszabb az SV-t szedő betegek körében a kontroll csoporthoz képest: 59% (19/32) vs 43% (19/44), log rank p=0,019. Konklúzió: A kamrai tachycardia miatt katéterablációra kerülő betegek esetében a SV terápia mellett gyakrabban volt indukálható többféle morfológiájú ritmuszavar, mint a hagyományos terápián lévő betegek esetében. Ez egy komplexebb aritmia szubsztrátumot feltételez és magyarázza a megfigyelt alacsonyabb akut és hosszú távú sikerarányt.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06188">
    <w:multiLevelType w:val="hybridMultilevel"/>
    <w:lvl w:ilvl="0" w:tplc="45142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06188">
    <w:abstractNumId w:val="772061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5598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