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kbalogh0906@gmail.com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Roland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Hajdú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SEPTIN7 géncsendesítés hatásai a melanóma sejtek működésére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SEPTIN; raktár-vezérelt kalcium belépés; melanóma; transzfekció; sejtmigráció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melanóma sejtek osztódásában, illetve migrációjában a raktár-vezérelt Ca2+ beáramlás</w:t>
      </w:r>
      <w:r>
        <w:rPr>
          <w:color w:val="000000"/>
          <w:sz w:val="24"/>
          <w:szCs w:val="24"/>
        </w:rPr>
        <w:br/>
        <w:t xml:space="preserve">(SOCE) kiemelt szereppel bír. A folyamatért elsősorban két fehérje (a Ca2+-szenzor</w:t>
      </w:r>
      <w:r>
        <w:rPr>
          <w:color w:val="000000"/>
          <w:sz w:val="24"/>
          <w:szCs w:val="24"/>
        </w:rPr>
        <w:br/>
        <w:t xml:space="preserve">STIM1 és a plazmamembrán ioncsatorna ORAI1) összekapcsolódása révén kialakult</w:t>
      </w:r>
      <w:r>
        <w:rPr>
          <w:color w:val="000000"/>
          <w:sz w:val="24"/>
          <w:szCs w:val="24"/>
        </w:rPr>
        <w:br/>
        <w:t xml:space="preserve">komplex felelős. Ezen komplexek, illetve a SOCE létrejöttéhez a hetero- oligomereket</w:t>
      </w:r>
      <w:r>
        <w:rPr>
          <w:color w:val="000000"/>
          <w:sz w:val="24"/>
          <w:szCs w:val="24"/>
        </w:rPr>
        <w:br/>
        <w:t xml:space="preserve">létrehozni képes, citoszkeletális septinek gyors átrendeződő képessége szükséges. Korábbi</w:t>
      </w:r>
      <w:r>
        <w:rPr>
          <w:color w:val="000000"/>
          <w:sz w:val="24"/>
          <w:szCs w:val="24"/>
        </w:rPr>
        <w:br/>
        <w:t xml:space="preserve">kísérleteink igazolták, hogy a septin filamentumok dinamikájának farmakológiai gátlása a</w:t>
      </w:r>
      <w:r>
        <w:rPr>
          <w:color w:val="000000"/>
          <w:sz w:val="24"/>
          <w:szCs w:val="24"/>
        </w:rPr>
        <w:br/>
        <w:t xml:space="preserve">melanóma sejtek migrációs képességét csökkenti. Jelen munkánk célja a septin struktúrák</w:t>
      </w:r>
      <w:r>
        <w:rPr>
          <w:color w:val="000000"/>
          <w:sz w:val="24"/>
          <w:szCs w:val="24"/>
        </w:rPr>
        <w:br/>
        <w:t xml:space="preserve">elengedhetetlen részeként szolgáló SEPTIN7 géncsendesítése okozta hatások vizsgálata</w:t>
      </w:r>
      <w:r>
        <w:rPr>
          <w:color w:val="000000"/>
          <w:sz w:val="24"/>
          <w:szCs w:val="24"/>
        </w:rPr>
        <w:br/>
        <w:t xml:space="preserve">volt.</w:t>
      </w:r>
      <w:r>
        <w:rPr>
          <w:color w:val="000000"/>
          <w:sz w:val="24"/>
          <w:szCs w:val="24"/>
        </w:rPr>
        <w:br/>
        <w:t xml:space="preserve">Kísérleteinkhez in situ (WM35), valamint metasztatikus melanómából (A2058) izolált</w:t>
      </w:r>
      <w:r>
        <w:rPr>
          <w:color w:val="000000"/>
          <w:sz w:val="24"/>
          <w:szCs w:val="24"/>
        </w:rPr>
        <w:br/>
        <w:t xml:space="preserve">sejtvonalakat alkalmaztunk. A SEPTIN7 gént tranziens transzfekcióval csendesítettük,</w:t>
      </w:r>
      <w:r>
        <w:rPr>
          <w:color w:val="000000"/>
          <w:sz w:val="24"/>
          <w:szCs w:val="24"/>
        </w:rPr>
        <w:br/>
        <w:t xml:space="preserve">amelynek sikerességét a SEPTIN7 mRNS, illetve fehérje expressziójának szignifikáns</w:t>
      </w:r>
      <w:r>
        <w:rPr>
          <w:color w:val="000000"/>
          <w:sz w:val="24"/>
          <w:szCs w:val="24"/>
        </w:rPr>
        <w:br/>
        <w:t xml:space="preserve">csökkenése mindkét sejtvonalon igazolta. Az intracelluláris Ca2+-koncentráció</w:t>
      </w:r>
      <w:r>
        <w:rPr>
          <w:color w:val="000000"/>
          <w:sz w:val="24"/>
          <w:szCs w:val="24"/>
        </w:rPr>
        <w:br/>
        <w:t xml:space="preserve">változásainak vizsgálatai igazolták, hogy az siRNS-sel csendesített sejtekben a SOCE</w:t>
      </w:r>
      <w:r>
        <w:rPr>
          <w:color w:val="000000"/>
          <w:sz w:val="24"/>
          <w:szCs w:val="24"/>
        </w:rPr>
        <w:br/>
        <w:t xml:space="preserve">amplitúdója és meredeksége egyaránt szignifikánsan csökkent. A géncsendesítés</w:t>
      </w:r>
      <w:r>
        <w:rPr>
          <w:color w:val="000000"/>
          <w:sz w:val="24"/>
          <w:szCs w:val="24"/>
        </w:rPr>
        <w:br/>
        <w:t xml:space="preserve">sejtosztódásra és sejtmigrációra gyakorolt hatásait CyQuant proliferációs, Boyden-kamrás</w:t>
      </w:r>
      <w:r>
        <w:rPr>
          <w:color w:val="000000"/>
          <w:sz w:val="24"/>
          <w:szCs w:val="24"/>
        </w:rPr>
        <w:br/>
        <w:t xml:space="preserve">migrációs, Matrigel-alapú inváziós és scratch wound assay-vel vizsgáltuk. Kísérleteink</w:t>
      </w:r>
      <w:r>
        <w:rPr>
          <w:color w:val="000000"/>
          <w:sz w:val="24"/>
          <w:szCs w:val="24"/>
        </w:rPr>
        <w:br/>
        <w:t xml:space="preserve">mindkét sejtvonal esetében szignifikáns csökkenést mutattak a SEPTIN7-csendesített sejtek</w:t>
      </w:r>
      <w:r>
        <w:rPr>
          <w:color w:val="000000"/>
          <w:sz w:val="24"/>
          <w:szCs w:val="24"/>
        </w:rPr>
        <w:br/>
        <w:t xml:space="preserve">általunk vizsgált aktivitásában a nem-targetáló RNS-sel kezelt mintákhoz képest. A</w:t>
      </w:r>
      <w:r>
        <w:rPr>
          <w:color w:val="000000"/>
          <w:sz w:val="24"/>
          <w:szCs w:val="24"/>
        </w:rPr>
        <w:br/>
        <w:t xml:space="preserve">szekvenálás és a transzkriptomikai elemzés eredményei feltárták, hogy a SEPTIN7</w:t>
      </w:r>
      <w:r>
        <w:rPr>
          <w:color w:val="000000"/>
          <w:sz w:val="24"/>
          <w:szCs w:val="24"/>
        </w:rPr>
        <w:br/>
        <w:t xml:space="preserve">csendesítése az A2058 sejtek a citoszkeletális átrendeződést és a sejtvándorlást szabályozó</w:t>
      </w:r>
      <w:r>
        <w:rPr>
          <w:color w:val="000000"/>
          <w:sz w:val="24"/>
          <w:szCs w:val="24"/>
        </w:rPr>
        <w:br/>
        <w:t xml:space="preserve">gének expressziójának jelentős változását eredményezte, míg a WM35 sejtekben kevésbé</w:t>
      </w:r>
      <w:r>
        <w:rPr>
          <w:color w:val="000000"/>
          <w:sz w:val="24"/>
          <w:szCs w:val="24"/>
        </w:rPr>
        <w:br/>
        <w:t xml:space="preserve">markáns, de hasonló irányú mintázatokat mutatott.</w:t>
      </w:r>
      <w:r>
        <w:rPr>
          <w:color w:val="000000"/>
          <w:sz w:val="24"/>
          <w:szCs w:val="24"/>
        </w:rPr>
        <w:br/>
        <w:t xml:space="preserve">Munkánk során sikeresen csendesítettük a komplex septin struktúrák képzésében</w:t>
      </w:r>
      <w:r>
        <w:rPr>
          <w:color w:val="000000"/>
          <w:sz w:val="24"/>
          <w:szCs w:val="24"/>
        </w:rPr>
        <w:br/>
        <w:t xml:space="preserve">kulcsfontosságú SEPTIN7-et, és igazoltuk a SOCE-ra gyakorolt hatását. Mindemellett</w:t>
      </w:r>
      <w:r>
        <w:rPr>
          <w:color w:val="000000"/>
          <w:sz w:val="24"/>
          <w:szCs w:val="24"/>
        </w:rPr>
        <w:br/>
        <w:t xml:space="preserve">megerősítettük a septin filamentumok dinamikájának farmakológiai gátlása kapcsán</w:t>
      </w:r>
      <w:r>
        <w:rPr>
          <w:color w:val="000000"/>
          <w:sz w:val="24"/>
          <w:szCs w:val="24"/>
        </w:rPr>
        <w:br/>
        <w:t xml:space="preserve">szerzett tapasztalatainkat, melyek szerint a septinek és a SOCE kapcsolata alapvető szerepet</w:t>
      </w:r>
      <w:r>
        <w:rPr>
          <w:color w:val="000000"/>
          <w:sz w:val="24"/>
          <w:szCs w:val="24"/>
        </w:rPr>
        <w:br/>
        <w:t xml:space="preserve">játszhat a melanóma patomechanizmusában. Eredményeink klinikai szempontból is</w:t>
      </w:r>
      <w:r>
        <w:rPr>
          <w:color w:val="000000"/>
          <w:sz w:val="24"/>
          <w:szCs w:val="24"/>
        </w:rPr>
        <w:br/>
        <w:t xml:space="preserve">hasznosítható tapasztalatokat nyújtanak.</w:t>
      </w:r>
      <w:r>
        <w:rPr>
          <w:color w:val="000000"/>
          <w:sz w:val="24"/>
          <w:szCs w:val="24"/>
        </w:rPr>
        <w:br/>
        <w:t xml:space="preserve">A KULTURÁLIS ÉS INNOVÁCIÓS MINISZTÉRIUM EKÖP-24-2-DE-266</w:t>
      </w:r>
      <w:r>
        <w:rPr>
          <w:color w:val="000000"/>
          <w:sz w:val="24"/>
          <w:szCs w:val="24"/>
        </w:rPr>
        <w:br/>
        <w:t xml:space="preserve">KÓDSZÁMÚ EGYETEMI KUTATÓI ÖSZTÖNDÍJ PROGRAMJÁNAK A NEMZETI</w:t>
      </w:r>
      <w:r>
        <w:rPr>
          <w:color w:val="000000"/>
          <w:sz w:val="24"/>
          <w:szCs w:val="24"/>
        </w:rPr>
        <w:br/>
        <w:t xml:space="preserve">KUTATÁSI, FEJLESZTÉSI ÉS INNOVÁCIÓS ALAPBÓL FINANSZÍROZOTT</w:t>
      </w:r>
      <w:r>
        <w:rPr>
          <w:color w:val="000000"/>
          <w:sz w:val="24"/>
          <w:szCs w:val="24"/>
        </w:rPr>
        <w:br/>
        <w:t xml:space="preserve">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93500">
    <w:multiLevelType w:val="hybridMultilevel"/>
    <w:lvl w:ilvl="0" w:tplc="42182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93500">
    <w:abstractNumId w:val="334935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521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