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PALUSKA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lucapaluska13@gmail.com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Deák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Fazekas László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OSTEOARTHRITIS MICRO-RHEOLOGIAI ÉS MICROCIRCULATIÓS PARAMÉTEREKRE KIFEJTETT HATÁSÁNAK VIZSGÁLATA EGÉRBEN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osteoarthritis; egérmodell; hypermuscularis; microcirculatio; haemorheologia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ízületi gyulladás következtében kialakuló osteoarthrosis (OA) egy</w:t>
      </w:r>
      <w:r>
        <w:rPr>
          <w:color w:val="000000"/>
          <w:sz w:val="24"/>
          <w:szCs w:val="24"/>
        </w:rPr>
        <w:br/>
        <w:t xml:space="preserve">gyógyíthatatlan ízületi betegség, amelyet irreverzibilis porcdegeneráció és a csontszerkezet</w:t>
      </w:r>
      <w:r>
        <w:rPr>
          <w:color w:val="000000"/>
          <w:sz w:val="24"/>
          <w:szCs w:val="24"/>
        </w:rPr>
        <w:br/>
        <w:t xml:space="preserve">változásai jellemeznek. Az izomgyengeség és az immobilitás hozzájárul a betegség</w:t>
      </w:r>
      <w:r>
        <w:rPr>
          <w:color w:val="000000"/>
          <w:sz w:val="24"/>
          <w:szCs w:val="24"/>
        </w:rPr>
        <w:br/>
        <w:t xml:space="preserve">súlyosbodásához, és a m. quadriceps femoris gyengesége a betegség korai diagnosztikai</w:t>
      </w:r>
      <w:r>
        <w:rPr>
          <w:color w:val="000000"/>
          <w:sz w:val="24"/>
          <w:szCs w:val="24"/>
        </w:rPr>
        <w:br/>
        <w:t xml:space="preserve">markere lehet. Jelenleg kevés adat áll rendelkezésre az OA microcirculatiós és micro-</w:t>
      </w:r>
      <w:r>
        <w:rPr>
          <w:color w:val="000000"/>
          <w:sz w:val="24"/>
          <w:szCs w:val="24"/>
        </w:rPr>
        <w:br/>
        <w:t xml:space="preserve">rheologiai aspektusairól. Kutatás célja az alsó végtag microcirculatiójának és micro-</w:t>
      </w:r>
      <w:r>
        <w:rPr>
          <w:color w:val="000000"/>
          <w:sz w:val="24"/>
          <w:szCs w:val="24"/>
        </w:rPr>
        <w:br/>
        <w:t xml:space="preserve">rheologiai paramétereinek vizsgálata volt OA, áloperált kontroll és hypermuscularis</w:t>
      </w:r>
      <w:r>
        <w:rPr>
          <w:color w:val="000000"/>
          <w:sz w:val="24"/>
          <w:szCs w:val="24"/>
        </w:rPr>
        <w:br/>
        <w:t xml:space="preserve">egérmodellekben.</w:t>
      </w:r>
      <w:r>
        <w:rPr>
          <w:color w:val="000000"/>
          <w:sz w:val="24"/>
          <w:szCs w:val="24"/>
        </w:rPr>
        <w:br/>
        <w:t xml:space="preserve">Módszerek: A kísérletben (regisztrációs száma: 17/2023/DEMÁB) azonos korú kontroll</w:t>
      </w:r>
      <w:r>
        <w:rPr>
          <w:color w:val="000000"/>
          <w:sz w:val="24"/>
          <w:szCs w:val="24"/>
        </w:rPr>
        <w:br/>
        <w:t xml:space="preserve">C57BL/6 (BL6; 29,15±0,84g) és hypermuscularis (MSTN; 43,41±3,14g) egereket</w:t>
      </w:r>
      <w:r>
        <w:rPr>
          <w:color w:val="000000"/>
          <w:sz w:val="24"/>
          <w:szCs w:val="24"/>
        </w:rPr>
        <w:br/>
        <w:t xml:space="preserve">vizsgáltunk. A műtéti protokoll során az ízületi tok megnyitásával áloperált (Sham), a</w:t>
      </w:r>
      <w:r>
        <w:rPr>
          <w:color w:val="000000"/>
          <w:sz w:val="24"/>
          <w:szCs w:val="24"/>
        </w:rPr>
        <w:br/>
        <w:t xml:space="preserve">medialis meniscus destabilizációval pedig OA csoportokat hoztunk létre. Az operációt</w:t>
      </w:r>
      <w:r>
        <w:rPr>
          <w:color w:val="000000"/>
          <w:sz w:val="24"/>
          <w:szCs w:val="24"/>
        </w:rPr>
        <w:br/>
        <w:t xml:space="preserve">követően a kóros változások feltárása érdekében az állatokat a kollaborációban (DE ÁOK</w:t>
      </w:r>
      <w:r>
        <w:rPr>
          <w:color w:val="000000"/>
          <w:sz w:val="24"/>
          <w:szCs w:val="24"/>
        </w:rPr>
        <w:br/>
        <w:t xml:space="preserve">Élettani Intézet) végzett utánkövetés végén, a 4. héten vizsgáltuk. Analízisünk Braedius</w:t>
      </w:r>
      <w:r>
        <w:rPr>
          <w:color w:val="000000"/>
          <w:sz w:val="24"/>
          <w:szCs w:val="24"/>
        </w:rPr>
        <w:br/>
        <w:t xml:space="preserve">Cytocam kamerával végzett mikrokeringési méréseket (m. biceps femoris) és terminális</w:t>
      </w:r>
      <w:r>
        <w:rPr>
          <w:color w:val="000000"/>
          <w:sz w:val="24"/>
          <w:szCs w:val="24"/>
        </w:rPr>
        <w:br/>
        <w:t xml:space="preserve">vérmintavételt (haematologiai és haemorheologiai paraméterek) foglalt magában.</w:t>
      </w:r>
      <w:r>
        <w:rPr>
          <w:color w:val="000000"/>
          <w:sz w:val="24"/>
          <w:szCs w:val="24"/>
        </w:rPr>
        <w:br/>
        <w:t xml:space="preserve">Eredmények: A haematologiai paraméterek közül a fehérvérsejtszám (14,08±0,99 G/l),</w:t>
      </w:r>
      <w:r>
        <w:rPr>
          <w:color w:val="000000"/>
          <w:sz w:val="24"/>
          <w:szCs w:val="24"/>
        </w:rPr>
        <w:br/>
        <w:t xml:space="preserve">MCH (17,85±0,3 pg) és MCHC (30,35±1,27 pg) szignifikánsan magasabb volt (p&lt;0,05) a</w:t>
      </w:r>
      <w:r>
        <w:rPr>
          <w:color w:val="000000"/>
          <w:sz w:val="24"/>
          <w:szCs w:val="24"/>
        </w:rPr>
        <w:br/>
        <w:t xml:space="preserve">BL6 OA csoportban az áloperált állatokhoz képest (5,45±0,93 G/l; 16,1±0,41 pg; 29,2±0,69</w:t>
      </w:r>
      <w:r>
        <w:rPr>
          <w:color w:val="000000"/>
          <w:sz w:val="24"/>
          <w:szCs w:val="24"/>
        </w:rPr>
        <w:br/>
        <w:t xml:space="preserve">pg). A vörösvérsejt aggregatio paraméterei esetén az áloperált csoporthoz viszonyítva az</w:t>
      </w:r>
      <w:r>
        <w:rPr>
          <w:color w:val="000000"/>
          <w:sz w:val="24"/>
          <w:szCs w:val="24"/>
        </w:rPr>
        <w:br/>
        <w:t xml:space="preserve">MSTN OA csoportban szignifikáns csökkenés (M 5s: 1,1±0,5 vs 0,3±0,1, M 10s:</w:t>
      </w:r>
      <w:r>
        <w:rPr>
          <w:color w:val="000000"/>
          <w:sz w:val="24"/>
          <w:szCs w:val="24"/>
        </w:rPr>
        <w:br/>
        <w:t xml:space="preserve">3,1±1,8±0,7±0,2), míg a BL6 OA csoportnál szignifikáns emelkedés (M 5s: 1,0±0,5 vs</w:t>
      </w:r>
      <w:r>
        <w:rPr>
          <w:color w:val="000000"/>
          <w:sz w:val="24"/>
          <w:szCs w:val="24"/>
        </w:rPr>
        <w:br/>
        <w:t xml:space="preserve">2,1±0,3, M1 5s: 0,9±0,1 vs 1,7±0,1) volt megfigyelhető. A microcirculatiós adatok esetén</w:t>
      </w:r>
      <w:r>
        <w:rPr>
          <w:color w:val="000000"/>
          <w:sz w:val="24"/>
          <w:szCs w:val="24"/>
        </w:rPr>
        <w:br/>
        <w:t xml:space="preserve">a capillarisok átmérője, denzitása és a De Backer's pontozási rendszer alapján mért értéke</w:t>
      </w:r>
      <w:r>
        <w:rPr>
          <w:color w:val="000000"/>
          <w:sz w:val="24"/>
          <w:szCs w:val="24"/>
        </w:rPr>
        <w:br/>
        <w:t xml:space="preserve">alacsonyabb volt az OA csoportok esetén.</w:t>
      </w:r>
      <w:r>
        <w:rPr>
          <w:color w:val="000000"/>
          <w:sz w:val="24"/>
          <w:szCs w:val="24"/>
        </w:rPr>
        <w:br/>
        <w:t xml:space="preserve">Következtetések: Az alkalmazott modell a vizsgált haematologiai, haemorheologiai</w:t>
      </w:r>
      <w:r>
        <w:rPr>
          <w:color w:val="000000"/>
          <w:sz w:val="24"/>
          <w:szCs w:val="24"/>
        </w:rPr>
        <w:br/>
        <w:t xml:space="preserve">paraméterek esetén elsődlegesen a kontroll csoportban okozott eltérést, míg a</w:t>
      </w:r>
      <w:r>
        <w:rPr>
          <w:color w:val="000000"/>
          <w:sz w:val="24"/>
          <w:szCs w:val="24"/>
        </w:rPr>
        <w:br/>
        <w:t xml:space="preserve">mikrokeringési paraméterek változása a hypermuscularis csoportban volt kifejezettebb. A</w:t>
      </w:r>
      <w:r>
        <w:rPr>
          <w:color w:val="000000"/>
          <w:sz w:val="24"/>
          <w:szCs w:val="24"/>
        </w:rPr>
        <w:br/>
        <w:t xml:space="preserve">vizsgált egértörzsek esetén, a modell hatására adott eltérő válaszreakciók további</w:t>
      </w:r>
      <w:r>
        <w:rPr>
          <w:color w:val="000000"/>
          <w:sz w:val="24"/>
          <w:szCs w:val="24"/>
        </w:rPr>
        <w:br/>
        <w:t xml:space="preserve">vizsgálatokra ösztönöznek.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34602">
    <w:multiLevelType w:val="hybridMultilevel"/>
    <w:lvl w:ilvl="0" w:tplc="90335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34602">
    <w:abstractNumId w:val="57534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851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