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GÁSPÁR TEKLA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teklagaspar1@gmail.com</w:t>
            </w:r>
            <w:r w:rsidRPr="001067CD">
              <w:rPr>
                <w:i/>
              </w:rPr>
              <w:br/>
            </w:r>
            <w:r w:rsidR="00A96AEC">
              <w:t>Orvosi Diagnosztikai Analitikus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Hádáné Dr. Birkó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Torner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miRNS-ek diagnosztikai és prognosztikai szerepe a tüdő adenokarcinóma eredetű agyi metasztázisokban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tüdő adenokarcinóma agyi metasztázis; miRNS; új generációs szekvenálás; agyszövet; biomarker panel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agyi metasztázisok (AM) szisztémás rosszindulatú daganatokból származó áttétek. A</w:t>
      </w:r>
      <w:r>
        <w:rPr>
          <w:color w:val="000000"/>
          <w:sz w:val="24"/>
          <w:szCs w:val="24"/>
        </w:rPr>
        <w:br/>
        <w:t xml:space="preserve">tüdődaganat a leggyakoribb primer daganat, amely agyi áttétet képez felnőttekben (a</w:t>
      </w:r>
      <w:r>
        <w:rPr>
          <w:color w:val="000000"/>
          <w:sz w:val="24"/>
          <w:szCs w:val="24"/>
        </w:rPr>
        <w:br/>
        <w:t xml:space="preserve">betegek ~50%-ára jellemző). Ennek legelterjedtebb altípusa a nem-kissejtes tüdődaganatok</w:t>
      </w:r>
      <w:r>
        <w:rPr>
          <w:color w:val="000000"/>
          <w:sz w:val="24"/>
          <w:szCs w:val="24"/>
        </w:rPr>
        <w:br/>
        <w:t xml:space="preserve">csoportjába tartozó tüdő adenokarcinóma (TA), amelyet gyakran társítanak AM</w:t>
      </w:r>
      <w:r>
        <w:rPr>
          <w:color w:val="000000"/>
          <w:sz w:val="24"/>
          <w:szCs w:val="24"/>
        </w:rPr>
        <w:br/>
        <w:t xml:space="preserve">kialakulásával. A daganatdiagnosztikai kutatások kiemelten vizsgálják a kis nem kódoló</w:t>
      </w:r>
      <w:r>
        <w:rPr>
          <w:color w:val="000000"/>
          <w:sz w:val="24"/>
          <w:szCs w:val="24"/>
        </w:rPr>
        <w:br/>
        <w:t xml:space="preserve">miRNS-eket, mivel ezek a génexpresszió poszt-transzkripciós szabályozásán keresztül</w:t>
      </w:r>
      <w:r>
        <w:rPr>
          <w:color w:val="000000"/>
          <w:sz w:val="24"/>
          <w:szCs w:val="24"/>
        </w:rPr>
        <w:br/>
        <w:t xml:space="preserve">számos sejtes útvonalat befolyásolnak. A miRNS-ek onkomiR-ként vagy</w:t>
      </w:r>
      <w:r>
        <w:rPr>
          <w:color w:val="000000"/>
          <w:sz w:val="24"/>
          <w:szCs w:val="24"/>
        </w:rPr>
        <w:br/>
        <w:t xml:space="preserve">tumorszuppresszorként is funkcionálhatnak, ugyanakkor deregulációjuk összefügg a</w:t>
      </w:r>
      <w:r>
        <w:rPr>
          <w:color w:val="000000"/>
          <w:sz w:val="24"/>
          <w:szCs w:val="24"/>
        </w:rPr>
        <w:br/>
        <w:t xml:space="preserve">daganatok kialakulásával és progressziójával, így potenciális biomarkerekké válhatnak a</w:t>
      </w:r>
      <w:r>
        <w:rPr>
          <w:color w:val="000000"/>
          <w:sz w:val="24"/>
          <w:szCs w:val="24"/>
        </w:rPr>
        <w:br/>
        <w:t xml:space="preserve">tumordiagnosztikában.</w:t>
      </w:r>
      <w:r>
        <w:rPr>
          <w:color w:val="000000"/>
          <w:sz w:val="24"/>
          <w:szCs w:val="24"/>
        </w:rPr>
        <w:br/>
        <w:t xml:space="preserve">A kutatásunk során célunk egy olyan miRNS panel azonosítása volt, amely segíti a TA-AM</w:t>
      </w:r>
      <w:r>
        <w:rPr>
          <w:color w:val="000000"/>
          <w:sz w:val="24"/>
          <w:szCs w:val="24"/>
        </w:rPr>
        <w:br/>
        <w:t xml:space="preserve">és kontroll (I, II grádusú gliómák peritumorális régiója) minták egymástól való megbízható</w:t>
      </w:r>
      <w:r>
        <w:rPr>
          <w:color w:val="000000"/>
          <w:sz w:val="24"/>
          <w:szCs w:val="24"/>
        </w:rPr>
        <w:br/>
        <w:t xml:space="preserve">elkülönítését.</w:t>
      </w:r>
      <w:r>
        <w:rPr>
          <w:color w:val="000000"/>
          <w:sz w:val="24"/>
          <w:szCs w:val="24"/>
        </w:rPr>
        <w:br/>
        <w:t xml:space="preserve">A vizsgálataink során az Új Generációs RNS Szekvenáláshoz (RNS-seq) 6 TA-AM és 6</w:t>
      </w:r>
      <w:r>
        <w:rPr>
          <w:color w:val="000000"/>
          <w:sz w:val="24"/>
          <w:szCs w:val="24"/>
        </w:rPr>
        <w:br/>
        <w:t xml:space="preserve">kontroll szövetmintát, az RT- qPCR-al történő validáláshoz pedig további 31-31</w:t>
      </w:r>
      <w:r>
        <w:rPr>
          <w:color w:val="000000"/>
          <w:sz w:val="24"/>
          <w:szCs w:val="24"/>
        </w:rPr>
        <w:br/>
        <w:t xml:space="preserve">szövetmintát választottunk ki. A szövetminták feltárása MagNaLyser készülékkel történt, a</w:t>
      </w:r>
      <w:r>
        <w:rPr>
          <w:color w:val="000000"/>
          <w:sz w:val="24"/>
          <w:szCs w:val="24"/>
        </w:rPr>
        <w:br/>
        <w:t xml:space="preserve">totálRNS izoláláshoz pedig a miRNeasy Mini Kit-et alkalmaztuk. Az RNS-seq vizsgálat</w:t>
      </w:r>
      <w:r>
        <w:rPr>
          <w:color w:val="000000"/>
          <w:sz w:val="24"/>
          <w:szCs w:val="24"/>
        </w:rPr>
        <w:br/>
        <w:t xml:space="preserve">Illumina NextSeq 500 szekvenáló készülékkel történt az UD Genomed közreműködésével.</w:t>
      </w:r>
      <w:r>
        <w:rPr>
          <w:color w:val="000000"/>
          <w:sz w:val="24"/>
          <w:szCs w:val="24"/>
        </w:rPr>
        <w:br/>
        <w:t xml:space="preserve">Az RNS-seq eredmények kiértékelése az IDEP.96 programmal, a miRNS-központú</w:t>
      </w:r>
      <w:r>
        <w:rPr>
          <w:color w:val="000000"/>
          <w:sz w:val="24"/>
          <w:szCs w:val="24"/>
        </w:rPr>
        <w:br/>
        <w:t xml:space="preserve">hálózatanalízis pedig a miRNet programmal történt. Az RT-qPCR vizsgálat miRCURY</w:t>
      </w:r>
      <w:r>
        <w:rPr>
          <w:color w:val="000000"/>
          <w:sz w:val="24"/>
          <w:szCs w:val="24"/>
        </w:rPr>
        <w:br/>
        <w:t xml:space="preserve">LNA SYBR Green Kit-tel (Qiagen) történt. A szignifikanciát Mann- Whitney U teszttel, a</w:t>
      </w:r>
      <w:r>
        <w:rPr>
          <w:color w:val="000000"/>
          <w:sz w:val="24"/>
          <w:szCs w:val="24"/>
        </w:rPr>
        <w:br/>
        <w:t xml:space="preserve">diagnosztikai hatékonyságot pedig EasyROC és SPSS programmal határoztuk meg.</w:t>
      </w:r>
      <w:r>
        <w:rPr>
          <w:color w:val="000000"/>
          <w:sz w:val="24"/>
          <w:szCs w:val="24"/>
        </w:rPr>
        <w:br/>
        <w:t xml:space="preserve">Az RNS-seq eredményei alapján azonosítottuk az upregulált miRNS-eket a TA-AM</w:t>
      </w:r>
      <w:r>
        <w:rPr>
          <w:color w:val="000000"/>
          <w:sz w:val="24"/>
          <w:szCs w:val="24"/>
        </w:rPr>
        <w:br/>
        <w:t xml:space="preserve">mintákba a kontrollokhoz viszonyítva, továbbá azonosítottuk azok szerepét a</w:t>
      </w:r>
      <w:r>
        <w:rPr>
          <w:color w:val="000000"/>
          <w:sz w:val="24"/>
          <w:szCs w:val="24"/>
        </w:rPr>
        <w:br/>
        <w:t xml:space="preserve">tumorgenezisben és migrációs folyamatokban. A validálásra 4 upregulált miRNS-t (miR196b-5p, miR-130b-3p, miR-210-3p, miR-200c-3p) választottunk ki. RT-qPCR-ral pedig</w:t>
      </w:r>
      <w:r>
        <w:rPr>
          <w:color w:val="000000"/>
          <w:sz w:val="24"/>
          <w:szCs w:val="24"/>
        </w:rPr>
        <w:br/>
        <w:t xml:space="preserve">igazoltuk, hogy a vizsgált miRNS-ek szignifikáns különbséget mutatnak a TA-AM</w:t>
      </w:r>
      <w:r>
        <w:rPr>
          <w:color w:val="000000"/>
          <w:sz w:val="24"/>
          <w:szCs w:val="24"/>
        </w:rPr>
        <w:br/>
        <w:t xml:space="preserve">mintákban a kontrollokhoz viszonyítva (p&lt; 0.0001), valamint meghatároztuk a</w:t>
      </w:r>
      <w:r>
        <w:rPr>
          <w:color w:val="000000"/>
          <w:sz w:val="24"/>
          <w:szCs w:val="24"/>
        </w:rPr>
        <w:br/>
        <w:t xml:space="preserve">diagnosztikai hatékonyságukat (AUC &gt; 0.8). A kiválasztott 4 miRNS kombinált analízise</w:t>
      </w:r>
      <w:r>
        <w:rPr>
          <w:color w:val="000000"/>
          <w:sz w:val="24"/>
          <w:szCs w:val="24"/>
        </w:rPr>
        <w:br/>
        <w:t xml:space="preserve">pedig 1-re növelte az AUC értéket.</w:t>
      </w:r>
      <w:r>
        <w:rPr>
          <w:color w:val="000000"/>
          <w:sz w:val="24"/>
          <w:szCs w:val="24"/>
        </w:rPr>
        <w:br/>
        <w:t xml:space="preserve">Összességében sikeresen kidolgoztunk egy olyan 4 miRNS-ből álló panelt, amely lehetővé</w:t>
      </w:r>
      <w:r>
        <w:rPr>
          <w:color w:val="000000"/>
          <w:sz w:val="24"/>
          <w:szCs w:val="24"/>
        </w:rPr>
        <w:br/>
        <w:t xml:space="preserve">teszi a két vizsgálati csoport megbízható elkülönítését, így potenciális biomarkerként</w:t>
      </w:r>
      <w:r>
        <w:rPr>
          <w:color w:val="000000"/>
          <w:sz w:val="24"/>
          <w:szCs w:val="24"/>
        </w:rPr>
        <w:br/>
        <w:t xml:space="preserve">alkalmazható a TA-AM diagnosztikájában.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59566">
    <w:multiLevelType w:val="hybridMultilevel"/>
    <w:lvl w:ilvl="0" w:tplc="60407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59566">
    <w:abstractNumId w:val="884595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263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