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 BALÁZS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Elek</w:t>
            </w:r>
          </w:p>
          <w:p w:rsidR="00DB4822" w:rsidRDefault="00DB4822" w:rsidP="00E11062">
            <w:pPr>
              <w:pStyle w:val="Konzulensek"/>
            </w:pPr>
            <w:r w:rsidRPr="00DB4822">
              <w:t>egy. doc.,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 szoláris nyereségek pontosítása a hazai épületenergetikai számításoknál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2010/31/EU az épületek energiahatékonyságáról szóló irányelv határozatait</w:t>
      </w:r>
      <w:r>
        <w:rPr>
          <w:color w:val="000000"/>
          <w:sz w:val="24"/>
          <w:szCs w:val="24"/>
        </w:rPr>
        <w:br/>
        <w:t xml:space="preserve">szem előtt tartva Magyarország főbb meteorológiai állomásainak 31 évre visszamenő</w:t>
      </w:r>
      <w:r>
        <w:rPr>
          <w:color w:val="000000"/>
          <w:sz w:val="24"/>
          <w:szCs w:val="24"/>
        </w:rPr>
        <w:br/>
        <w:t xml:space="preserve">éghajlatadatait felhasználva határozom meg a fűtési energiaigényt. Magyarország területét</w:t>
      </w:r>
      <w:r>
        <w:rPr>
          <w:color w:val="000000"/>
          <w:sz w:val="24"/>
          <w:szCs w:val="24"/>
        </w:rPr>
        <w:br/>
        <w:t xml:space="preserve">kisebb zónákra bontom, melyeken belül meghatározom a hőfokhidat, fűtési idény</w:t>
      </w:r>
      <w:r>
        <w:rPr>
          <w:color w:val="000000"/>
          <w:sz w:val="24"/>
          <w:szCs w:val="24"/>
        </w:rPr>
        <w:br/>
        <w:t xml:space="preserve">hosszát valamint a rendelkezésre álló napsugárzási adatok alapján az adott területen a sugárzási</w:t>
      </w:r>
      <w:r>
        <w:rPr>
          <w:color w:val="000000"/>
          <w:sz w:val="24"/>
          <w:szCs w:val="24"/>
        </w:rPr>
        <w:br/>
        <w:t xml:space="preserve">nyereséget. A számításhoz két módszert dolgoztam ki, melyek havi illetve idény szinten,</w:t>
      </w:r>
      <w:r>
        <w:rPr>
          <w:color w:val="000000"/>
          <w:sz w:val="24"/>
          <w:szCs w:val="24"/>
        </w:rPr>
        <w:br/>
        <w:t xml:space="preserve">lokálisan illetve regionálisan alkalmazhatóak. Az eredmények összehasonlítására illetve</w:t>
      </w:r>
      <w:r>
        <w:rPr>
          <w:color w:val="000000"/>
          <w:sz w:val="24"/>
          <w:szCs w:val="24"/>
        </w:rPr>
        <w:br/>
        <w:t xml:space="preserve">a számítási módszerek alkalmazására egy programot hoztam létre, melynek leírása a dolgozatban</w:t>
      </w:r>
      <w:r>
        <w:rPr>
          <w:color w:val="000000"/>
          <w:sz w:val="24"/>
          <w:szCs w:val="24"/>
        </w:rPr>
        <w:br/>
        <w:t xml:space="preserve">megtalálható. A kutatásom eredményeit felhasználva ezentúl gyorsabban és pontosabban</w:t>
      </w:r>
      <w:r>
        <w:rPr>
          <w:color w:val="000000"/>
          <w:sz w:val="24"/>
          <w:szCs w:val="24"/>
        </w:rPr>
        <w:br/>
        <w:t xml:space="preserve">tudjuk meghatározni az épületek energiahatékonyságát. A területekre lebontott értékek</w:t>
      </w:r>
      <w:r>
        <w:rPr>
          <w:color w:val="000000"/>
          <w:sz w:val="24"/>
          <w:szCs w:val="24"/>
        </w:rPr>
        <w:br/>
        <w:t xml:space="preserve">továbbá jelentős segítséget fognak nyújtani a szoláris nyereséget nyújtó szerkezetek</w:t>
      </w:r>
      <w:r>
        <w:rPr>
          <w:color w:val="000000"/>
          <w:sz w:val="24"/>
          <w:szCs w:val="24"/>
        </w:rPr>
        <w:br/>
        <w:t xml:space="preserve">méretezésében.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7871">
    <w:multiLevelType w:val="hybridMultilevel"/>
    <w:lvl w:ilvl="0" w:tplc="7306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7871">
    <w:abstractNumId w:val="94497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496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