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MARAH GHANEM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marah.ghanem98@gmail.com</w:t>
            </w:r>
            <w:r w:rsidRPr="001067CD">
              <w:rPr>
                <w:i/>
              </w:rPr>
              <w:br/>
            </w:r>
            <w:r w:rsidR="00A96AEC">
              <w:t>Molekuláris 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Szatmári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Chahra Fareh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RUNX3 irányított vérképző sejtek képződése pluripotens embrionális őssejtekből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RUNX3, génexpresszió, transzkripciós faktor, vérképzés, transzgén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members of the Runt-related transcription factor family (RUNX1 and RUNX3) have a critical</w:t>
      </w:r>
      <w:r>
        <w:rPr>
          <w:color w:val="000000"/>
          <w:sz w:val="24"/>
          <w:szCs w:val="24"/>
        </w:rPr>
        <w:br/>
        <w:t xml:space="preserve">role in regulation of hematopoiesis during the early stages of mammalian embryonic development.</w:t>
      </w:r>
      <w:r>
        <w:rPr>
          <w:color w:val="000000"/>
          <w:sz w:val="24"/>
          <w:szCs w:val="24"/>
        </w:rPr>
        <w:br/>
        <w:t xml:space="preserve">In our laboratory it was uncovered that forced expression of RUNX3 stimulated the formation of</w:t>
      </w:r>
      <w:r>
        <w:rPr>
          <w:color w:val="000000"/>
          <w:sz w:val="24"/>
          <w:szCs w:val="24"/>
        </w:rPr>
        <w:br/>
        <w:t xml:space="preserve">the murine embryonic stem cells (ESCs) derived early blood cell progenitors. In this study I have</w:t>
      </w:r>
      <w:r>
        <w:rPr>
          <w:color w:val="000000"/>
          <w:sz w:val="24"/>
          <w:szCs w:val="24"/>
        </w:rPr>
        <w:br/>
        <w:t xml:space="preserve">further investigated the role of RUNX3 on the early blood cell formation using an ex vivo ESC</w:t>
      </w:r>
      <w:r>
        <w:rPr>
          <w:color w:val="000000"/>
          <w:sz w:val="24"/>
          <w:szCs w:val="24"/>
        </w:rPr>
        <w:br/>
        <w:t xml:space="preserve">differentiation protocol. RUNX3-inducible transgenic mouse ESCs were cultured on gelatin</w:t>
      </w:r>
      <w:r>
        <w:rPr>
          <w:color w:val="000000"/>
          <w:sz w:val="24"/>
          <w:szCs w:val="24"/>
        </w:rPr>
        <w:br/>
        <w:t xml:space="preserve">coated plates for 4 days, followed by trypsinization and disaggregation using 0.25% trypsin-EDTA</w:t>
      </w:r>
      <w:r>
        <w:rPr>
          <w:color w:val="000000"/>
          <w:sz w:val="24"/>
          <w:szCs w:val="24"/>
        </w:rPr>
        <w:br/>
        <w:t xml:space="preserve">solution (ESC expansion and harvesting). ESCs were differentiated for five days in a special tissue</w:t>
      </w:r>
      <w:r>
        <w:rPr>
          <w:color w:val="000000"/>
          <w:sz w:val="24"/>
          <w:szCs w:val="24"/>
        </w:rPr>
        <w:br/>
        <w:t xml:space="preserve">culture medium to form embryoid bodies (EBs). Then EBs were disaggregated and further</w:t>
      </w:r>
      <w:r>
        <w:rPr>
          <w:color w:val="000000"/>
          <w:sz w:val="24"/>
          <w:szCs w:val="24"/>
        </w:rPr>
        <w:br/>
        <w:t xml:space="preserve">differentiated in a GM-CSF containing medium for additional 2, 3 or 4 days. Half of the EB</w:t>
      </w:r>
      <w:r>
        <w:rPr>
          <w:color w:val="000000"/>
          <w:sz w:val="24"/>
          <w:szCs w:val="24"/>
        </w:rPr>
        <w:br/>
        <w:t xml:space="preserve">derived cells were treated with doxycycline for RUNX3 induction, while the other half served as</w:t>
      </w:r>
      <w:r>
        <w:rPr>
          <w:color w:val="000000"/>
          <w:sz w:val="24"/>
          <w:szCs w:val="24"/>
        </w:rPr>
        <w:br/>
        <w:t xml:space="preserve">control without doxycycline. Cells were harvested on 7, 8, and 9 days and flow cytometry analyses</w:t>
      </w:r>
      <w:r>
        <w:rPr>
          <w:color w:val="000000"/>
          <w:sz w:val="24"/>
          <w:szCs w:val="24"/>
        </w:rPr>
        <w:br/>
        <w:t xml:space="preserve">were performed to monitor the hematopoietic development. I examined the cell surface expression</w:t>
      </w:r>
      <w:r>
        <w:rPr>
          <w:color w:val="000000"/>
          <w:sz w:val="24"/>
          <w:szCs w:val="24"/>
        </w:rPr>
        <w:br/>
        <w:t xml:space="preserve">of CD41, CD45 and c-Kit markers.</w:t>
      </w:r>
      <w:r>
        <w:rPr>
          <w:color w:val="000000"/>
          <w:sz w:val="24"/>
          <w:szCs w:val="24"/>
        </w:rPr>
        <w:br/>
        <w:t xml:space="preserve">My flow cytometric analysis revealed that elevated percent of c-Kit/CD41 double positive blood</w:t>
      </w:r>
      <w:r>
        <w:rPr>
          <w:color w:val="000000"/>
          <w:sz w:val="24"/>
          <w:szCs w:val="24"/>
        </w:rPr>
        <w:br/>
        <w:t xml:space="preserve">cell progenitors were detected in the doxycycline treated cells at day 7, 8 and 9. This suggests that</w:t>
      </w:r>
      <w:r>
        <w:rPr>
          <w:color w:val="000000"/>
          <w:sz w:val="24"/>
          <w:szCs w:val="24"/>
        </w:rPr>
        <w:br/>
        <w:t xml:space="preserve">RUNX3 induction enhances the early hematopoietic progenitor formation of the ESC derived ex</w:t>
      </w:r>
      <w:r>
        <w:rPr>
          <w:color w:val="000000"/>
          <w:sz w:val="24"/>
          <w:szCs w:val="24"/>
        </w:rPr>
        <w:br/>
        <w:t xml:space="preserve">vivo differentiated cells. On the other hand, the percentage of the pan hematopoietic marker</w:t>
      </w:r>
      <w:r>
        <w:rPr>
          <w:color w:val="000000"/>
          <w:sz w:val="24"/>
          <w:szCs w:val="24"/>
        </w:rPr>
        <w:br/>
        <w:t xml:space="preserve">(CD45) expression was continuously increased upon the ESC-derived cell differentiation. These</w:t>
      </w:r>
      <w:r>
        <w:rPr>
          <w:color w:val="000000"/>
          <w:sz w:val="24"/>
          <w:szCs w:val="24"/>
        </w:rPr>
        <w:br/>
        <w:t xml:space="preserve">results suggest that over-expression of RUNX3 can selectively upregulate the c-Kit/CD41 blood</w:t>
      </w:r>
      <w:r>
        <w:rPr>
          <w:color w:val="000000"/>
          <w:sz w:val="24"/>
          <w:szCs w:val="24"/>
        </w:rPr>
        <w:br/>
        <w:t xml:space="preserve">cell precursor production.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46058">
    <w:multiLevelType w:val="hybridMultilevel"/>
    <w:lvl w:ilvl="0" w:tplc="900265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46058">
    <w:abstractNumId w:val="644460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60309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