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KÁDÁR ANNA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zsofia99999@gmail.com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Bagoly Zsuzsa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Hodossy-Takács Rebeka</w:t>
            </w:r>
          </w:p>
          <w:p w:rsidR="00DB4822" w:rsidRDefault="00DB4822" w:rsidP="00BA6BAF">
            <w:pPr>
              <w:pStyle w:val="Konzulensektitulus"/>
            </w:pPr>
            <w:r w:rsidRPr="00DB4822">
              <w:t>Ph.D. hallgató, rezidens,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akut iszkémiás stroke betegek intravénás trombolízis kezelésének prognózisát befolyásoló hemosztázis genetikai tényezők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akut iszkémiás stroke; trombolízis; polimorfizmus;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Bevezetés. Az akut iszkémiás stroke (AIS) intravénás trombolízis kezelés célja a</w:t>
      </w:r>
      <w:r>
        <w:rPr>
          <w:color w:val="000000"/>
          <w:sz w:val="24"/>
          <w:szCs w:val="24"/>
        </w:rPr>
        <w:br/>
        <w:t xml:space="preserve">keringésből kizárt agyterület vérellátásának gyors helyreállítása rekombináns szöveti</w:t>
      </w:r>
      <w:r>
        <w:rPr>
          <w:color w:val="000000"/>
          <w:sz w:val="24"/>
          <w:szCs w:val="24"/>
        </w:rPr>
        <w:br/>
        <w:t xml:space="preserve">plazminogén aktivátor (i.v. rt-PA) révén. A kezelés az esetek mintegy felében nem hatásos,</w:t>
      </w:r>
      <w:r>
        <w:rPr>
          <w:color w:val="000000"/>
          <w:sz w:val="24"/>
          <w:szCs w:val="24"/>
        </w:rPr>
        <w:br/>
        <w:t xml:space="preserve">továbbá a betegek egy részében potenciálisan fatális hemorrhagiás transzformáció (HT)</w:t>
      </w:r>
      <w:r>
        <w:rPr>
          <w:color w:val="000000"/>
          <w:sz w:val="24"/>
          <w:szCs w:val="24"/>
        </w:rPr>
        <w:br/>
        <w:t xml:space="preserve">alakulhat ki, melynek genetikai rizikótényezői nem ismertek.</w:t>
      </w:r>
      <w:r>
        <w:rPr>
          <w:color w:val="000000"/>
          <w:sz w:val="24"/>
          <w:szCs w:val="24"/>
        </w:rPr>
        <w:br/>
        <w:t xml:space="preserve">Célkitűzés. Egypontos nukleotid-polimorfizmusok (SNP) azonosítása a hemosztázis</w:t>
      </w:r>
      <w:r>
        <w:rPr>
          <w:color w:val="000000"/>
          <w:sz w:val="24"/>
          <w:szCs w:val="24"/>
        </w:rPr>
        <w:br/>
        <w:t xml:space="preserve">természetes inhibitorainak génjeiben, melyek befolyásolhatják a trombolízis kimenetelét.</w:t>
      </w:r>
      <w:r>
        <w:rPr>
          <w:color w:val="000000"/>
          <w:sz w:val="24"/>
          <w:szCs w:val="24"/>
        </w:rPr>
        <w:br/>
        <w:t xml:space="preserve">Betegek és módszerek. Prospektív, obszervációs eset-kontroll tanulmányunkban i.v. rt-PAval kezelt AIS betegek DNS mintáit vizsgáltuk. A DE Neurológia Klinikával</w:t>
      </w:r>
      <w:r>
        <w:rPr>
          <w:color w:val="000000"/>
          <w:sz w:val="24"/>
          <w:szCs w:val="24"/>
        </w:rPr>
        <w:br/>
        <w:t xml:space="preserve">kollaborációban létrehozott biobankunkban (2011-2020) tárolt mintákból a protein C,</w:t>
      </w:r>
      <w:r>
        <w:rPr>
          <w:color w:val="000000"/>
          <w:sz w:val="24"/>
          <w:szCs w:val="24"/>
        </w:rPr>
        <w:br/>
        <w:t xml:space="preserve">protein S, endotheliális protein C receptor és antitrombin génjeiben (PROC, PROS1,</w:t>
      </w:r>
      <w:r>
        <w:rPr>
          <w:color w:val="000000"/>
          <w:sz w:val="24"/>
          <w:szCs w:val="24"/>
        </w:rPr>
        <w:br/>
        <w:t xml:space="preserve">PROCR, SERPINC1) 12 gyakori polimorfizmust vizsgáltunk (PROC: IVS1-1641 G&gt;A,</w:t>
      </w:r>
      <w:r>
        <w:rPr>
          <w:color w:val="000000"/>
          <w:sz w:val="24"/>
          <w:szCs w:val="24"/>
        </w:rPr>
        <w:br/>
        <w:t xml:space="preserve">IVS-1654 C&gt;T, IVS1-1476 A&gt;T, IVS7+111 G&gt;T, 3’UTR C&gt;T; PROCR: p.Ser219Gly,</w:t>
      </w:r>
      <w:r>
        <w:rPr>
          <w:color w:val="000000"/>
          <w:sz w:val="24"/>
          <w:szCs w:val="24"/>
        </w:rPr>
        <w:br/>
        <w:t xml:space="preserve">5’UTR C&gt;T, 5’UTR G&gt;A; SERPINC1: IVS+141 G&gt;A, p.Ala384Pro; PROS1: IVS11+54</w:t>
      </w:r>
      <w:r>
        <w:rPr>
          <w:color w:val="000000"/>
          <w:sz w:val="24"/>
          <w:szCs w:val="24"/>
        </w:rPr>
        <w:br/>
        <w:t xml:space="preserve">T&gt;C, p.Ser501Ala Herleen) primer extenzió és fragmentanalízis elvén működő SNaPshot</w:t>
      </w:r>
      <w:r>
        <w:rPr>
          <w:color w:val="000000"/>
          <w:sz w:val="24"/>
          <w:szCs w:val="24"/>
        </w:rPr>
        <w:br/>
        <w:t xml:space="preserve">Multiplex módszerrel. A HT jelenlétének megítélése a lízist követő másnapi (~24h) kontroll</w:t>
      </w:r>
      <w:r>
        <w:rPr>
          <w:color w:val="000000"/>
          <w:sz w:val="24"/>
          <w:szCs w:val="24"/>
        </w:rPr>
        <w:br/>
        <w:t xml:space="preserve">CT felvételek alapján történt. A 7. napi NIHSS ≥4 ponttal való csökkenését kedvező</w:t>
      </w:r>
      <w:r>
        <w:rPr>
          <w:color w:val="000000"/>
          <w:sz w:val="24"/>
          <w:szCs w:val="24"/>
        </w:rPr>
        <w:br/>
        <w:t xml:space="preserve">rövidtávú kimenetelnek tekintettük.</w:t>
      </w:r>
      <w:r>
        <w:rPr>
          <w:color w:val="000000"/>
          <w:sz w:val="24"/>
          <w:szCs w:val="24"/>
        </w:rPr>
        <w:br/>
        <w:t xml:space="preserve">Eredmények. Összesen 112 trombolízissel kezelt AIS beteg DNS mintáját vizsgáltuk: 22</w:t>
      </w:r>
      <w:r>
        <w:rPr>
          <w:color w:val="000000"/>
          <w:sz w:val="24"/>
          <w:szCs w:val="24"/>
        </w:rPr>
        <w:br/>
        <w:t xml:space="preserve">HT-t szenvedett beteghez kontrollként 42 kedvező ill. 48 kedvezőtlen/stagnáló kimenetelű</w:t>
      </w:r>
      <w:r>
        <w:rPr>
          <w:color w:val="000000"/>
          <w:sz w:val="24"/>
          <w:szCs w:val="24"/>
        </w:rPr>
        <w:br/>
        <w:t xml:space="preserve">beteget választottunk, a kontrollokat kor, nem és felvételkori NIHSS szerint illesztve. A</w:t>
      </w:r>
      <w:r>
        <w:rPr>
          <w:color w:val="000000"/>
          <w:sz w:val="24"/>
          <w:szCs w:val="24"/>
        </w:rPr>
        <w:br/>
        <w:t xml:space="preserve">vizsgált SNP-k közül kizárólag a PROC IVS1-1641 G&gt;A allélfrekvenciája tért el a</w:t>
      </w:r>
      <w:r>
        <w:rPr>
          <w:color w:val="000000"/>
          <w:sz w:val="24"/>
          <w:szCs w:val="24"/>
        </w:rPr>
        <w:br/>
        <w:t xml:space="preserve">csoportokban. A PROC IVS1-1641 G&gt;A variáns allél szignifikánsan gyakoribb volt a HT</w:t>
      </w:r>
      <w:r>
        <w:rPr>
          <w:color w:val="000000"/>
          <w:sz w:val="24"/>
          <w:szCs w:val="24"/>
        </w:rPr>
        <w:br/>
        <w:t xml:space="preserve">betegekben, a HT kialakulásának esélyét heterozigóta formában 4,7-szeresre, homozigóta</w:t>
      </w:r>
      <w:r>
        <w:rPr>
          <w:color w:val="000000"/>
          <w:sz w:val="24"/>
          <w:szCs w:val="24"/>
        </w:rPr>
        <w:br/>
        <w:t xml:space="preserve">formában 6-szorosra emelve a vad típushoz képest (p=0,0289). A PROC IVS1-1476 A&gt;T,</w:t>
      </w:r>
      <w:r>
        <w:rPr>
          <w:color w:val="000000"/>
          <w:sz w:val="24"/>
          <w:szCs w:val="24"/>
        </w:rPr>
        <w:br/>
        <w:t xml:space="preserve">PROS1 IVS11+54 T&gt;C és SEPRINC1 IVS1+141G&gt;A SNP-k variáns alléljai</w:t>
      </w:r>
      <w:r>
        <w:rPr>
          <w:color w:val="000000"/>
          <w:sz w:val="24"/>
          <w:szCs w:val="24"/>
        </w:rPr>
        <w:br/>
        <w:t xml:space="preserve">szignifikánsan gyakrabban fordultak elő a teljes kohorszban a referens európai</w:t>
      </w:r>
      <w:r>
        <w:rPr>
          <w:color w:val="000000"/>
          <w:sz w:val="24"/>
          <w:szCs w:val="24"/>
        </w:rPr>
        <w:br/>
        <w:t xml:space="preserve">populációhoz képest.</w:t>
      </w:r>
      <w:r>
        <w:rPr>
          <w:color w:val="000000"/>
          <w:sz w:val="24"/>
          <w:szCs w:val="24"/>
        </w:rPr>
        <w:br/>
        <w:t xml:space="preserve">Konklúzió. Eredményeink alapján a PROC IVS1-1641 G&gt;A polimorfizmus</w:t>
      </w:r>
      <w:r>
        <w:rPr>
          <w:color w:val="000000"/>
          <w:sz w:val="24"/>
          <w:szCs w:val="24"/>
        </w:rPr>
        <w:br/>
        <w:t xml:space="preserve">összefüggésben állhat a trombolízist követő HT kialakulásával. A PROC IVS1-1476A&gt;T,</w:t>
      </w:r>
      <w:r>
        <w:rPr>
          <w:color w:val="000000"/>
          <w:sz w:val="24"/>
          <w:szCs w:val="24"/>
        </w:rPr>
        <w:br/>
        <w:t xml:space="preserve">PROS1 IVS11+54T&gt;C és SEPRINC1 IVS1+141G&gt;A SNP-k gyakoribb előfordulása az</w:t>
      </w:r>
      <w:r>
        <w:rPr>
          <w:color w:val="000000"/>
          <w:sz w:val="24"/>
          <w:szCs w:val="24"/>
        </w:rPr>
        <w:br/>
        <w:t xml:space="preserve">általunk vizsgált kohorszban felveti e polimorfizmusok szerepét az AIS kialakulásában.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701210">
    <w:multiLevelType w:val="hybridMultilevel"/>
    <w:lvl w:ilvl="0" w:tplc="590197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701210">
    <w:abstractNumId w:val="307012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40129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