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CHAKER MHD REDA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redachaker97@gmail.com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Surányi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Diabeteses macula oedema Avastin (bevacizumab) kezelésével szerzett tapasztalataink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bevacizumab; Diabeteses macula oedema; nyomonkövetés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Purpose: To evaluate the clinical outcomes of diabetic macular oedema (DMO) patients treated</w:t>
      </w:r>
      <w:r>
        <w:rPr>
          <w:color w:val="000000"/>
          <w:sz w:val="24"/>
          <w:szCs w:val="24"/>
        </w:rPr>
        <w:br/>
        <w:t xml:space="preserve">with Avastin (bevacizumab) in a single clinic, and to compare these results with published study</w:t>
      </w:r>
      <w:r>
        <w:rPr>
          <w:color w:val="000000"/>
          <w:sz w:val="24"/>
          <w:szCs w:val="24"/>
        </w:rPr>
        <w:br/>
        <w:t xml:space="preserve">data.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Patients and methods: This retrospective study included patients treated with Avastin for DMO</w:t>
      </w:r>
      <w:r>
        <w:rPr>
          <w:color w:val="000000"/>
          <w:sz w:val="24"/>
          <w:szCs w:val="24"/>
        </w:rPr>
        <w:br/>
        <w:t xml:space="preserve">between January 1, 2019, and December 31, 2022. A total of 64 patients (72 eyes) were</w:t>
      </w:r>
      <w:r>
        <w:rPr>
          <w:color w:val="000000"/>
          <w:sz w:val="24"/>
          <w:szCs w:val="24"/>
        </w:rPr>
        <w:br/>
        <w:t xml:space="preserve">analyzed, comprising 30 men and 34 women with a mean baseline age of 65.3 ± 12.1 years.</w:t>
      </w:r>
      <w:r>
        <w:rPr>
          <w:color w:val="000000"/>
          <w:sz w:val="24"/>
          <w:szCs w:val="24"/>
        </w:rPr>
        <w:br/>
        <w:t xml:space="preserve">Baseline and follow-up measurements were taken at every visit which included central retinal</w:t>
      </w:r>
      <w:r>
        <w:rPr>
          <w:color w:val="000000"/>
          <w:sz w:val="24"/>
          <w:szCs w:val="24"/>
        </w:rPr>
        <w:br/>
        <w:t xml:space="preserve">thickness (CRT) and best-corrected visual acuity (BCVA). Data were evaluated to assess</w:t>
      </w:r>
      <w:r>
        <w:rPr>
          <w:color w:val="000000"/>
          <w:sz w:val="24"/>
          <w:szCs w:val="24"/>
        </w:rPr>
        <w:br/>
        <w:t xml:space="preserve">changes in CRT and BCVA after treatment.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Results: The mean baseline CRT was 550.06 ± 129.54 μm, which decreased to an average of</w:t>
      </w:r>
      <w:r>
        <w:rPr>
          <w:color w:val="000000"/>
          <w:sz w:val="24"/>
          <w:szCs w:val="24"/>
        </w:rPr>
        <w:br/>
        <w:t xml:space="preserve">438.69 ± 133.36 μm following treatment, reflecting a significant reduction in macular oedema.</w:t>
      </w:r>
      <w:r>
        <w:rPr>
          <w:color w:val="000000"/>
          <w:sz w:val="24"/>
          <w:szCs w:val="24"/>
        </w:rPr>
        <w:br/>
        <w:t xml:space="preserve">BCVA improved from an average of 0.33 ± 0.22 to 0.43 ± 0.28, indicating a measurable</w:t>
      </w:r>
      <w:r>
        <w:rPr>
          <w:color w:val="000000"/>
          <w:sz w:val="24"/>
          <w:szCs w:val="24"/>
        </w:rPr>
        <w:br/>
        <w:t xml:space="preserve">improvement in visual acuity. The average follow-up period was 13 months.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Discussion: Avastin treatment for DMO demonstrated significant improvements in both</w:t>
      </w:r>
      <w:r>
        <w:rPr>
          <w:color w:val="000000"/>
          <w:sz w:val="24"/>
          <w:szCs w:val="24"/>
        </w:rPr>
        <w:br/>
        <w:t xml:space="preserve">anatomical and functional outcomes over the examined period. The reduction in CRT and</w:t>
      </w:r>
      <w:r>
        <w:rPr>
          <w:color w:val="000000"/>
          <w:sz w:val="24"/>
          <w:szCs w:val="24"/>
        </w:rPr>
        <w:br/>
        <w:t xml:space="preserve">improvement in BCVA signify role of Avastin as an effective therapeutic option for DMO. These</w:t>
      </w:r>
      <w:r>
        <w:rPr>
          <w:color w:val="000000"/>
          <w:sz w:val="24"/>
          <w:szCs w:val="24"/>
        </w:rPr>
        <w:br/>
        <w:t xml:space="preserve">findings contribute to the growing body of evidence supporting its use and provide insights into</w:t>
      </w:r>
      <w:r>
        <w:rPr>
          <w:color w:val="000000"/>
          <w:sz w:val="24"/>
          <w:szCs w:val="24"/>
        </w:rPr>
        <w:br/>
        <w:t xml:space="preserve">real-world clinical outcomes. Our results align closely with existing literature on the efficacy of</w:t>
      </w:r>
      <w:r>
        <w:rPr>
          <w:color w:val="000000"/>
          <w:sz w:val="24"/>
          <w:szCs w:val="24"/>
        </w:rPr>
        <w:br/>
        <w:t xml:space="preserve">Avastin for DMO.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37422">
    <w:multiLevelType w:val="hybridMultilevel"/>
    <w:lvl w:ilvl="0" w:tplc="10426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37422">
    <w:abstractNumId w:val="14237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94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