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MISZ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miszdora7@gmail.com</w:t>
            </w:r>
            <w:r w:rsidRPr="001067CD">
              <w:rPr>
                <w:i/>
              </w:rPr>
              <w:br/>
            </w:r>
            <w:r w:rsidR="00A96AEC">
              <w:t>Általános orvostudományi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Sárközi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interstitiális tüdőbetegségek retrospektív elemzése (2018-2023)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interstitiális tüdőbetegségek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interstitialis tüdőbetegségek (ILD) a tüdő parenchymáját érintő, heterogén</w:t>
      </w:r>
      <w:r>
        <w:rPr>
          <w:color w:val="000000"/>
          <w:sz w:val="24"/>
          <w:szCs w:val="24"/>
        </w:rPr>
        <w:br/>
        <w:t xml:space="preserve">kórképek csoportja, amelyek diagnózisa multidiszciplináris ILD-team segítségével</w:t>
      </w:r>
      <w:r>
        <w:rPr>
          <w:color w:val="000000"/>
          <w:sz w:val="24"/>
          <w:szCs w:val="24"/>
        </w:rPr>
        <w:br/>
        <w:t xml:space="preserve">történik. A klinikai tünetek, képalkotó vizsgálatok és patológiai leletek együttes értékelése</w:t>
      </w:r>
      <w:r>
        <w:rPr>
          <w:color w:val="000000"/>
          <w:sz w:val="24"/>
          <w:szCs w:val="24"/>
        </w:rPr>
        <w:br/>
        <w:t xml:space="preserve">alapvető a pontos diagnózis felállításához. Az idiopathiás tüdőfibrózis (IPF) különösen</w:t>
      </w:r>
      <w:r>
        <w:rPr>
          <w:color w:val="000000"/>
          <w:sz w:val="24"/>
          <w:szCs w:val="24"/>
        </w:rPr>
        <w:br/>
        <w:t xml:space="preserve">nagy kihívást jelent, progresszív lefolyása és magas mortalitása miatt az antifibrotikus</w:t>
      </w:r>
      <w:r>
        <w:rPr>
          <w:color w:val="000000"/>
          <w:sz w:val="24"/>
          <w:szCs w:val="24"/>
        </w:rPr>
        <w:br/>
        <w:t xml:space="preserve">kezelések hatékonyságának vizsgálata kiemelt fontosságú.</w:t>
      </w:r>
      <w:r>
        <w:rPr>
          <w:color w:val="000000"/>
          <w:sz w:val="24"/>
          <w:szCs w:val="24"/>
        </w:rPr>
        <w:br/>
        <w:t xml:space="preserve">Célkitűzések: A kutatás célja az ILD diagnosztikai és terápiás megközelítéseinek</w:t>
      </w:r>
      <w:r>
        <w:rPr>
          <w:color w:val="000000"/>
          <w:sz w:val="24"/>
          <w:szCs w:val="24"/>
        </w:rPr>
        <w:br/>
        <w:t xml:space="preserve">pontosítása, valamint az antifibrotikus kezelések hatékonyságának és biztonságosságának</w:t>
      </w:r>
      <w:r>
        <w:rPr>
          <w:color w:val="000000"/>
          <w:sz w:val="24"/>
          <w:szCs w:val="24"/>
        </w:rPr>
        <w:br/>
        <w:t xml:space="preserve">elemzése . Emellett a komorbiditások és a betegség lefolyásának összefüggéseit kívántuk</w:t>
      </w:r>
      <w:r>
        <w:rPr>
          <w:color w:val="000000"/>
          <w:sz w:val="24"/>
          <w:szCs w:val="24"/>
        </w:rPr>
        <w:br/>
        <w:t xml:space="preserve">feltárni, különös tekintettel a betegség kimenetelét negatívan befolyásoló tényezőkre.</w:t>
      </w:r>
      <w:r>
        <w:rPr>
          <w:color w:val="000000"/>
          <w:sz w:val="24"/>
          <w:szCs w:val="24"/>
        </w:rPr>
        <w:br/>
        <w:t xml:space="preserve">Módszerek: A kutatás retrospektív elemzésen alapult, amely során a 2018 és 2023 között</w:t>
      </w:r>
      <w:r>
        <w:rPr>
          <w:color w:val="000000"/>
          <w:sz w:val="24"/>
          <w:szCs w:val="24"/>
        </w:rPr>
        <w:br/>
        <w:t xml:space="preserve">az ILD-teamen bemutatott betegek adatait dolgoztuk fel. A bevont betegek legalább két</w:t>
      </w:r>
      <w:r>
        <w:rPr>
          <w:color w:val="000000"/>
          <w:sz w:val="24"/>
          <w:szCs w:val="24"/>
        </w:rPr>
        <w:br/>
        <w:t xml:space="preserve">légzésfunkciós mérési eredménnyel rendelkeztek, amelyek között legalább hat hónap telt</w:t>
      </w:r>
      <w:r>
        <w:rPr>
          <w:color w:val="000000"/>
          <w:sz w:val="24"/>
          <w:szCs w:val="24"/>
        </w:rPr>
        <w:br/>
        <w:t xml:space="preserve">el. A betegeket a nemzetközi irányelvek alapján osztályoztuk ILD csoportokba. A</w:t>
      </w:r>
      <w:r>
        <w:rPr>
          <w:color w:val="000000"/>
          <w:sz w:val="24"/>
          <w:szCs w:val="24"/>
        </w:rPr>
        <w:br/>
        <w:t xml:space="preserve">légzésfunkciós paraméterek (FEV1, FVC, DLCO%) változásainak elemzése mellett a</w:t>
      </w:r>
      <w:r>
        <w:rPr>
          <w:color w:val="000000"/>
          <w:sz w:val="24"/>
          <w:szCs w:val="24"/>
        </w:rPr>
        <w:br/>
        <w:t xml:space="preserve">Tukey és Dunn tesztek segítségével elkülönítettük az alcsoportokat, és a komorbiditások</w:t>
      </w:r>
      <w:r>
        <w:rPr>
          <w:color w:val="000000"/>
          <w:sz w:val="24"/>
          <w:szCs w:val="24"/>
        </w:rPr>
        <w:br/>
        <w:t xml:space="preserve">betegségkimenetelre gyakorolt hatását néztük meg Cox-regressziós modellekkel. Az</w:t>
      </w:r>
      <w:r>
        <w:rPr>
          <w:color w:val="000000"/>
          <w:sz w:val="24"/>
          <w:szCs w:val="24"/>
        </w:rPr>
        <w:br/>
        <w:t xml:space="preserve">antifibrotikus kezelések hatékonyságát és mellékhatásait különböző betegcsoportokban</w:t>
      </w:r>
      <w:r>
        <w:rPr>
          <w:color w:val="000000"/>
          <w:sz w:val="24"/>
          <w:szCs w:val="24"/>
        </w:rPr>
        <w:br/>
        <w:t xml:space="preserve">értékeltük.</w:t>
      </w:r>
      <w:r>
        <w:rPr>
          <w:color w:val="000000"/>
          <w:sz w:val="24"/>
          <w:szCs w:val="24"/>
        </w:rPr>
        <w:br/>
        <w:t xml:space="preserve">Eredmények: Az elemzés alapján az ILD különböző alcsoportjainak légzésfunkciós</w:t>
      </w:r>
      <w:r>
        <w:rPr>
          <w:color w:val="000000"/>
          <w:sz w:val="24"/>
          <w:szCs w:val="24"/>
        </w:rPr>
        <w:br/>
        <w:t xml:space="preserve">paraméterei szignifikáns különbségeket mutattak. A Cox-modell szerint a hyperszenzitív</w:t>
      </w:r>
      <w:r>
        <w:rPr>
          <w:color w:val="000000"/>
          <w:sz w:val="24"/>
          <w:szCs w:val="24"/>
        </w:rPr>
        <w:br/>
        <w:t xml:space="preserve">pneumonitis, a tuberkulózis és a szkleroderma szignifikánsan negatívan befolyásolta a</w:t>
      </w:r>
      <w:r>
        <w:rPr>
          <w:color w:val="000000"/>
          <w:sz w:val="24"/>
          <w:szCs w:val="24"/>
        </w:rPr>
        <w:br/>
        <w:t xml:space="preserve">betegség kimenetelét. Marginálisan szignifikáns hatást mutatott a tüdődaganat és a</w:t>
      </w:r>
      <w:r>
        <w:rPr>
          <w:color w:val="000000"/>
          <w:sz w:val="24"/>
          <w:szCs w:val="24"/>
        </w:rPr>
        <w:br/>
        <w:t xml:space="preserve">sarcoidosis.</w:t>
      </w:r>
      <w:r>
        <w:rPr>
          <w:color w:val="000000"/>
          <w:sz w:val="24"/>
          <w:szCs w:val="24"/>
        </w:rPr>
        <w:br/>
        <w:t xml:space="preserve">A különböző terápiák, mint például a cyclophosphamide és medrol, szintén szignifikáns</w:t>
      </w:r>
      <w:r>
        <w:rPr>
          <w:color w:val="000000"/>
          <w:sz w:val="24"/>
          <w:szCs w:val="24"/>
        </w:rPr>
        <w:br/>
        <w:t xml:space="preserve">pozitív hatással bírtak.</w:t>
      </w:r>
      <w:r>
        <w:rPr>
          <w:color w:val="000000"/>
          <w:sz w:val="24"/>
          <w:szCs w:val="24"/>
        </w:rPr>
        <w:br/>
        <w:t xml:space="preserve">Következtetések: A kutatás rámutatott a légzésfunkciós paraméterek jelentőségére az ILD</w:t>
      </w:r>
      <w:r>
        <w:rPr>
          <w:color w:val="000000"/>
          <w:sz w:val="24"/>
          <w:szCs w:val="24"/>
        </w:rPr>
        <w:br/>
        <w:t xml:space="preserve">altípusainak elkülönítésében és a betegség prognózisának megítélésében. A negatívan</w:t>
      </w:r>
      <w:r>
        <w:rPr>
          <w:color w:val="000000"/>
          <w:sz w:val="24"/>
          <w:szCs w:val="24"/>
        </w:rPr>
        <w:br/>
        <w:t xml:space="preserve">befolyásoló társbetegségek kiemelt figyelmet igényelnek, mivel jelentős mértékben rontják</w:t>
      </w:r>
      <w:r>
        <w:rPr>
          <w:color w:val="000000"/>
          <w:sz w:val="24"/>
          <w:szCs w:val="24"/>
        </w:rPr>
        <w:br/>
        <w:t xml:space="preserve">a kimenetelt. Az antifibrotikus kezelések és az immunszuppresszív terápiák</w:t>
      </w:r>
      <w:r>
        <w:rPr>
          <w:color w:val="000000"/>
          <w:sz w:val="24"/>
          <w:szCs w:val="24"/>
        </w:rPr>
        <w:br/>
        <w:t xml:space="preserve">eredményességének megállapítása megerősítette a multidiszciplináris megközelítés és az</w:t>
      </w:r>
      <w:r>
        <w:rPr>
          <w:color w:val="000000"/>
          <w:sz w:val="24"/>
          <w:szCs w:val="24"/>
        </w:rPr>
        <w:br/>
        <w:t xml:space="preserve">egyénre szabott kezelés fontosságát az ILD betegek ellátásában.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35975">
    <w:multiLevelType w:val="hybridMultilevel"/>
    <w:lvl w:ilvl="0" w:tplc="56731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35975">
    <w:abstractNumId w:val="521359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551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