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VÉCSEI VENCEL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vecseivencel@gmail.com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Priksz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Bódi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ertugliflozin kardiovaszkuláris hatásainak elemzése spontán hipertenzív (SHR) patkánymodellen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SGLT2-gátló; ertugliflozin; SHR; echokardiográfia; kardiomiocita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SGLT-2-gátló antidiabetikumok nemcsak glikémiás kontrollt biztosítanak, hanem</w:t>
      </w:r>
      <w:r>
        <w:rPr>
          <w:color w:val="000000"/>
          <w:sz w:val="24"/>
          <w:szCs w:val="24"/>
        </w:rPr>
        <w:br/>
        <w:t xml:space="preserve">pozitív kardiovaszkuláris hatásokkal is rendelkeznek. Az ertugliflozin egérmodellekben és</w:t>
      </w:r>
      <w:r>
        <w:rPr>
          <w:color w:val="000000"/>
          <w:sz w:val="24"/>
          <w:szCs w:val="24"/>
        </w:rPr>
        <w:br/>
        <w:t xml:space="preserve">a VERTISCV humán vizsgálatban is csökkenti a kardiovaszkuláris kockázatot. Korábbi</w:t>
      </w:r>
      <w:r>
        <w:rPr>
          <w:color w:val="000000"/>
          <w:sz w:val="24"/>
          <w:szCs w:val="24"/>
        </w:rPr>
        <w:br/>
        <w:t xml:space="preserve">eredményeink szerint spontán hipertenzív patkánymodellen (SHR) az ertugliflozin</w:t>
      </w:r>
      <w:r>
        <w:rPr>
          <w:color w:val="000000"/>
          <w:sz w:val="24"/>
          <w:szCs w:val="24"/>
        </w:rPr>
        <w:br/>
        <w:t xml:space="preserve">csökkenti a kamrai hipertrófiát és szignifikánsan javítja a szisztolés és diasztolés funkciót.</w:t>
      </w:r>
      <w:r>
        <w:rPr>
          <w:color w:val="000000"/>
          <w:sz w:val="24"/>
          <w:szCs w:val="24"/>
        </w:rPr>
        <w:br/>
        <w:t xml:space="preserve">A jelenlegi kutatás célja az ertugliflozinnal kezelt SHR állatmodellben a kardiomiociták</w:t>
      </w:r>
      <w:r>
        <w:rPr>
          <w:color w:val="000000"/>
          <w:sz w:val="24"/>
          <w:szCs w:val="24"/>
        </w:rPr>
        <w:br/>
        <w:t xml:space="preserve">kontraktilitásának, az azt szabályozó fehérjék módosulásainak és a vaszkuláris funkciónak</w:t>
      </w:r>
      <w:r>
        <w:rPr>
          <w:color w:val="000000"/>
          <w:sz w:val="24"/>
          <w:szCs w:val="24"/>
        </w:rPr>
        <w:br/>
        <w:t xml:space="preserve">a vizsgálata. Az SHR állatokat és kontrolljaikat 18 hónapos korukig kezeletlenül tartottuk,</w:t>
      </w:r>
      <w:r>
        <w:rPr>
          <w:color w:val="000000"/>
          <w:sz w:val="24"/>
          <w:szCs w:val="24"/>
        </w:rPr>
        <w:br/>
        <w:t xml:space="preserve">majd az SHR csoport egy részét 2 hónapon keresztül 5 mg/ttkg/nap ertugliflozinnal</w:t>
      </w:r>
      <w:r>
        <w:rPr>
          <w:color w:val="000000"/>
          <w:sz w:val="24"/>
          <w:szCs w:val="24"/>
        </w:rPr>
        <w:br/>
        <w:t xml:space="preserve">(SHR+ERTU), másik részét vivőanyaggal kezeltük (SHR). A végpontban</w:t>
      </w:r>
      <w:r>
        <w:rPr>
          <w:color w:val="000000"/>
          <w:sz w:val="24"/>
          <w:szCs w:val="24"/>
        </w:rPr>
        <w:br/>
        <w:t xml:space="preserve">echokardiográfiát végeztünk, majd ex vivo vizsgálatuk az aorta thoracica acetil-kolinra</w:t>
      </w:r>
      <w:r>
        <w:rPr>
          <w:color w:val="000000"/>
          <w:sz w:val="24"/>
          <w:szCs w:val="24"/>
        </w:rPr>
        <w:br/>
        <w:t xml:space="preserve">adott relaxációját. Izometriás erőméréseink során bal kamrai szívizomsejteken</w:t>
      </w:r>
      <w:r>
        <w:rPr>
          <w:color w:val="000000"/>
          <w:sz w:val="24"/>
          <w:szCs w:val="24"/>
        </w:rPr>
        <w:br/>
        <w:t xml:space="preserve">meghatároztuk a maximális Ca2+ -aktivált aktív erőt (Fmax), a</w:t>
      </w:r>
      <w:r>
        <w:rPr>
          <w:color w:val="000000"/>
          <w:sz w:val="24"/>
          <w:szCs w:val="24"/>
        </w:rPr>
        <w:br/>
        <w:t xml:space="preserve">Ca2+ - érzékenységet (pCa50) és a Ca2+ -független passzív erőt (Fpasszív). Biokémiai</w:t>
      </w:r>
      <w:r>
        <w:rPr>
          <w:color w:val="000000"/>
          <w:sz w:val="24"/>
          <w:szCs w:val="24"/>
        </w:rPr>
        <w:br/>
        <w:t xml:space="preserve">vizsgálataink a kardiális troponin I (cTnI) és titin fehérje foszforilációs állapotának nyomon</w:t>
      </w:r>
      <w:r>
        <w:rPr>
          <w:color w:val="000000"/>
          <w:sz w:val="24"/>
          <w:szCs w:val="24"/>
        </w:rPr>
        <w:br/>
        <w:t xml:space="preserve">követésére irányultak ProQ Diamond festéssel és Western blot technikával. Továbbá</w:t>
      </w:r>
      <w:r>
        <w:rPr>
          <w:color w:val="000000"/>
          <w:sz w:val="24"/>
          <w:szCs w:val="24"/>
        </w:rPr>
        <w:br/>
        <w:t xml:space="preserve">citokin arrayt végeztünk bal kamrai izolátumokból. A kardiomiociták Fmax értékei nem</w:t>
      </w:r>
      <w:r>
        <w:rPr>
          <w:color w:val="000000"/>
          <w:sz w:val="24"/>
          <w:szCs w:val="24"/>
        </w:rPr>
        <w:br/>
        <w:t xml:space="preserve">különböztek a csoportok között. A pCa50 értékek magasabbak voltak az SHR állatokban a</w:t>
      </w:r>
      <w:r>
        <w:rPr>
          <w:color w:val="000000"/>
          <w:sz w:val="24"/>
          <w:szCs w:val="24"/>
        </w:rPr>
        <w:br/>
        <w:t xml:space="preserve">kontrollhoz képest, amit az ERTU kezelés részben csökkentett. A miociták F passzív ereje</w:t>
      </w:r>
      <w:r>
        <w:rPr>
          <w:color w:val="000000"/>
          <w:sz w:val="24"/>
          <w:szCs w:val="24"/>
        </w:rPr>
        <w:br/>
        <w:t xml:space="preserve">szignifikánsan nőtt a beteg állatokban, amit az ERTU-kezelés</w:t>
      </w:r>
      <w:r>
        <w:rPr>
          <w:color w:val="000000"/>
          <w:sz w:val="24"/>
          <w:szCs w:val="24"/>
        </w:rPr>
        <w:br/>
        <w:t xml:space="preserve">hatékonyan revertált. A cTnI PKA-specifikus foszforilációjában és a titin fehérje</w:t>
      </w:r>
      <w:r>
        <w:rPr>
          <w:color w:val="000000"/>
          <w:sz w:val="24"/>
          <w:szCs w:val="24"/>
        </w:rPr>
        <w:br/>
        <w:t xml:space="preserve">összfoszforilációjában nem volt különbség a csoportok között, azonban a cTnI PKC-függő</w:t>
      </w:r>
      <w:r>
        <w:rPr>
          <w:color w:val="000000"/>
          <w:sz w:val="24"/>
          <w:szCs w:val="24"/>
        </w:rPr>
        <w:br/>
        <w:t xml:space="preserve">helyek foszforilációja csökkent az SHR csoportban, de nőtt az SHR+ERTU állatokban. Az</w:t>
      </w:r>
      <w:r>
        <w:rPr>
          <w:color w:val="000000"/>
          <w:sz w:val="24"/>
          <w:szCs w:val="24"/>
        </w:rPr>
        <w:br/>
        <w:t xml:space="preserve">endothél-függő vazorelaxáció a kezelt csoportban a kontrollhoz közelített, de az SHR</w:t>
      </w:r>
      <w:r>
        <w:rPr>
          <w:color w:val="000000"/>
          <w:sz w:val="24"/>
          <w:szCs w:val="24"/>
        </w:rPr>
        <w:br/>
        <w:t xml:space="preserve">minták acetil-kolinra adott válasza fokozott volt. A vizsgált citokinekben nem találtunk</w:t>
      </w:r>
      <w:r>
        <w:rPr>
          <w:color w:val="000000"/>
          <w:sz w:val="24"/>
          <w:szCs w:val="24"/>
        </w:rPr>
        <w:br/>
        <w:t xml:space="preserve">különbséget. Az echokardiográfiás eredményeket (hipertrófia csökkenése, diasztolés</w:t>
      </w:r>
      <w:r>
        <w:rPr>
          <w:color w:val="000000"/>
          <w:sz w:val="24"/>
          <w:szCs w:val="24"/>
        </w:rPr>
        <w:br/>
        <w:t xml:space="preserve">funkció javulása) a sejtszintű vizsgálatok is alátámasztják: a miociták passzív ereje</w:t>
      </w:r>
      <w:r>
        <w:rPr>
          <w:color w:val="000000"/>
          <w:sz w:val="24"/>
          <w:szCs w:val="24"/>
        </w:rPr>
        <w:br/>
        <w:t xml:space="preserve">csökkent, a troponin PKC-függő foszforilációja pedig nőtt az ERTU-kezelés hatására.</w:t>
      </w:r>
      <w:r>
        <w:rPr>
          <w:color w:val="000000"/>
          <w:sz w:val="24"/>
          <w:szCs w:val="24"/>
        </w:rPr>
        <w:br/>
        <w:t xml:space="preserve">Eredményeink alapján az ertugliflozin kardioprotektív tulajdonságai további vizsgálatokra</w:t>
      </w:r>
      <w:r>
        <w:rPr>
          <w:color w:val="000000"/>
          <w:sz w:val="24"/>
          <w:szCs w:val="24"/>
        </w:rPr>
        <w:br/>
        <w:t xml:space="preserve">érdemes, preklinikai és klinikai kontextusban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24310">
    <w:multiLevelType w:val="hybridMultilevel"/>
    <w:lvl w:ilvl="0" w:tplc="68244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24310">
    <w:abstractNumId w:val="38024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144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