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VÁGÓ REBEKA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vgrebi@gmail.com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Szupernormális szívizom teljesítmény: edzés vs. dapagliflozin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fiziológiás hipertrófia; aktív erő; dapagliflozin; kardiális troponin 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rendszeres testedzés hatására kialakuló fiziológiás hipertrófia a szívizom tömegének</w:t>
      </w:r>
      <w:r>
        <w:rPr>
          <w:color w:val="000000"/>
          <w:sz w:val="24"/>
          <w:szCs w:val="24"/>
        </w:rPr>
        <w:br/>
        <w:t xml:space="preserve">növekedésével jár (sportszív). Az eredetileg antidiabetikus gyógyszerként kifejlesztett</w:t>
      </w:r>
      <w:r>
        <w:rPr>
          <w:color w:val="000000"/>
          <w:sz w:val="24"/>
          <w:szCs w:val="24"/>
        </w:rPr>
        <w:br/>
        <w:t xml:space="preserve">SGLT2-gátló dapagliflozin ígéretes terápiává vált a szívelégtelenség kezelésében, de</w:t>
      </w:r>
      <w:r>
        <w:rPr>
          <w:color w:val="000000"/>
          <w:sz w:val="24"/>
          <w:szCs w:val="24"/>
        </w:rPr>
        <w:br/>
        <w:t xml:space="preserve">szívvédő hatásmechanizmusa nem teljesen ismert. Az edzés okozta szívizom- hipertrófia</w:t>
      </w:r>
      <w:r>
        <w:rPr>
          <w:color w:val="000000"/>
          <w:sz w:val="24"/>
          <w:szCs w:val="24"/>
        </w:rPr>
        <w:br/>
        <w:t xml:space="preserve">és az SGLT2-gátló kölcsönhatásait eddig nem vizsgálták részletesen. Kutatásom célja a</w:t>
      </w:r>
      <w:r>
        <w:rPr>
          <w:color w:val="000000"/>
          <w:sz w:val="24"/>
          <w:szCs w:val="24"/>
        </w:rPr>
        <w:br/>
        <w:t xml:space="preserve">dapagliflozin hatásának feltárása a szívizomsejtek kontraktilitására sportszív</w:t>
      </w:r>
      <w:r>
        <w:rPr>
          <w:color w:val="000000"/>
          <w:sz w:val="24"/>
          <w:szCs w:val="24"/>
        </w:rPr>
        <w:br/>
        <w:t xml:space="preserve">patkánymodellben.</w:t>
      </w:r>
      <w:r>
        <w:rPr>
          <w:color w:val="000000"/>
          <w:sz w:val="24"/>
          <w:szCs w:val="24"/>
        </w:rPr>
        <w:br/>
        <w:t xml:space="preserve">Kísérleteinkhez a Semmelweis Egyetem Városmajori Szív- és Érgyógyászati Klinika által</w:t>
      </w:r>
      <w:r>
        <w:rPr>
          <w:color w:val="000000"/>
          <w:sz w:val="24"/>
          <w:szCs w:val="24"/>
        </w:rPr>
        <w:br/>
        <w:t xml:space="preserve">beállított sportszív patkánymodellt alkalmaztuk. Izometriás erőméréseinket membrán</w:t>
      </w:r>
      <w:r>
        <w:rPr>
          <w:color w:val="000000"/>
          <w:sz w:val="24"/>
          <w:szCs w:val="24"/>
        </w:rPr>
        <w:br/>
        <w:t xml:space="preserve">fosztott bal kamrai szívizomsejteken végeztük, mely során meghatároztuk a maximális</w:t>
      </w:r>
      <w:r>
        <w:rPr>
          <w:color w:val="000000"/>
          <w:sz w:val="24"/>
          <w:szCs w:val="24"/>
        </w:rPr>
        <w:br/>
        <w:t xml:space="preserve">Ca2+-aktivált aktív erőt (Fmax), a Ca2+-érzékenységet (pCa50), valamint a Ca2+-</w:t>
      </w:r>
      <w:r>
        <w:rPr>
          <w:color w:val="000000"/>
          <w:sz w:val="24"/>
          <w:szCs w:val="24"/>
        </w:rPr>
        <w:br/>
        <w:t xml:space="preserve">független passzív erőt (Fpasszív). Biokémiai vizsgálataink során nyomon követtük a</w:t>
      </w:r>
      <w:r>
        <w:rPr>
          <w:color w:val="000000"/>
          <w:sz w:val="24"/>
          <w:szCs w:val="24"/>
        </w:rPr>
        <w:br/>
        <w:t xml:space="preserve">kardiális troponin I (cTnI) foszforilációs státuszát ProQ Diamond és Western immunoblot</w:t>
      </w:r>
      <w:r>
        <w:rPr>
          <w:color w:val="000000"/>
          <w:sz w:val="24"/>
          <w:szCs w:val="24"/>
        </w:rPr>
        <w:br/>
        <w:t xml:space="preserve">technikákkal.</w:t>
      </w:r>
      <w:r>
        <w:rPr>
          <w:color w:val="000000"/>
          <w:sz w:val="24"/>
          <w:szCs w:val="24"/>
        </w:rPr>
        <w:br/>
        <w:t xml:space="preserve">Mind a fizikai edzés, mind pedig a dapagliflozin kezelés az Faktív értékek szignifikáns</w:t>
      </w:r>
      <w:r>
        <w:rPr>
          <w:color w:val="000000"/>
          <w:sz w:val="24"/>
          <w:szCs w:val="24"/>
        </w:rPr>
        <w:br/>
        <w:t xml:space="preserve">javulásával jártak (Kontroll: 16,76±0,74 kN/m2 vs. Edzett: 22,81±1,91 kN/m2 vs.</w:t>
      </w:r>
      <w:r>
        <w:rPr>
          <w:color w:val="000000"/>
          <w:sz w:val="24"/>
          <w:szCs w:val="24"/>
        </w:rPr>
        <w:br/>
        <w:t xml:space="preserve">Kontroll+DA: 21,07±1,31 kN/m2 vs. Edzett+DA: 26,42±2,26 kN/m2, P&lt;0,05, n=8-10). A</w:t>
      </w:r>
      <w:r>
        <w:rPr>
          <w:color w:val="000000"/>
          <w:sz w:val="24"/>
          <w:szCs w:val="24"/>
        </w:rPr>
        <w:br/>
        <w:t xml:space="preserve">pCa50 értékek az edzett csoportban szignifikánsan magasabbak voltak (5,91±0,01) a</w:t>
      </w:r>
      <w:r>
        <w:rPr>
          <w:color w:val="000000"/>
          <w:sz w:val="24"/>
          <w:szCs w:val="24"/>
        </w:rPr>
        <w:br/>
        <w:t xml:space="preserve">kontroll csoporthoz (5,85±0,01, P&lt;0,05, n=8-10) viszonyítva, ugyanakkor a kezelt</w:t>
      </w:r>
      <w:r>
        <w:rPr>
          <w:color w:val="000000"/>
          <w:sz w:val="24"/>
          <w:szCs w:val="24"/>
        </w:rPr>
        <w:br/>
        <w:t xml:space="preserve">csoportok pCa50 értékeiben nem volt különbség (pCa50: Kontroll+DA: 5,89±0,01 vs.</w:t>
      </w:r>
      <w:r>
        <w:rPr>
          <w:color w:val="000000"/>
          <w:sz w:val="24"/>
          <w:szCs w:val="24"/>
        </w:rPr>
        <w:br/>
        <w:t xml:space="preserve">Edzett+DA: 5,88±0,01, P&lt;0,05, n=8-10). Az Fpasszív értékek nem változtak a csoportok</w:t>
      </w:r>
      <w:r>
        <w:rPr>
          <w:color w:val="000000"/>
          <w:sz w:val="24"/>
          <w:szCs w:val="24"/>
        </w:rPr>
        <w:br/>
        <w:t xml:space="preserve">között. Biokémiai vizsgálatok során, a cTnI összfoszforilációja csökkent a fizikai edzés</w:t>
      </w:r>
      <w:r>
        <w:rPr>
          <w:color w:val="000000"/>
          <w:sz w:val="24"/>
          <w:szCs w:val="24"/>
        </w:rPr>
        <w:br/>
        <w:t xml:space="preserve">(0,69±0,03) és a dapagliflozin kezelés hatására (Kontroll+DA: 0,66±0,06 vs. Edzett+DA:</w:t>
      </w:r>
      <w:r>
        <w:rPr>
          <w:color w:val="000000"/>
          <w:sz w:val="24"/>
          <w:szCs w:val="24"/>
        </w:rPr>
        <w:br/>
        <w:t xml:space="preserve">0,61±0,03) a kontroll csoporthoz viszonyítva (1,00±0,06; n=3, relatív egységek). A cTnI a</w:t>
      </w:r>
      <w:r>
        <w:rPr>
          <w:color w:val="000000"/>
          <w:sz w:val="24"/>
          <w:szCs w:val="24"/>
        </w:rPr>
        <w:br/>
        <w:t xml:space="preserve">Ser22/23 és Thr144 helyeken alulfoszforilált volt az edzett (0,77±0,02 és 0,61±0,10) és</w:t>
      </w:r>
      <w:r>
        <w:rPr>
          <w:color w:val="000000"/>
          <w:sz w:val="24"/>
          <w:szCs w:val="24"/>
        </w:rPr>
        <w:br/>
        <w:t xml:space="preserve">SGLT2-gátlóval kezelt állatokban (Kontroll+DA: 0,70±0,02 és 0,84±0,08 vs. Edzett+DA:</w:t>
      </w:r>
      <w:r>
        <w:rPr>
          <w:color w:val="000000"/>
          <w:sz w:val="24"/>
          <w:szCs w:val="24"/>
        </w:rPr>
        <w:br/>
        <w:t xml:space="preserve">0,52±0,04 és 0,58±0,10) a kontrollhoz képest (1,00±0,04 és 1,00±0,03; P&lt;0,05, n=3, relatív</w:t>
      </w:r>
      <w:r>
        <w:rPr>
          <w:color w:val="000000"/>
          <w:sz w:val="24"/>
          <w:szCs w:val="24"/>
        </w:rPr>
        <w:br/>
        <w:t xml:space="preserve">egységekben). A cTnI Ser43 helyén nem találtunk különbséget a csoportok között.</w:t>
      </w:r>
      <w:r>
        <w:rPr>
          <w:color w:val="000000"/>
          <w:sz w:val="24"/>
          <w:szCs w:val="24"/>
        </w:rPr>
        <w:br/>
        <w:t xml:space="preserve">Eredményeink alapján az SGLT2-gátló dapagliflozin alkalmazása olyan szupernormális</w:t>
      </w:r>
      <w:r>
        <w:rPr>
          <w:color w:val="000000"/>
          <w:sz w:val="24"/>
          <w:szCs w:val="24"/>
        </w:rPr>
        <w:br/>
        <w:t xml:space="preserve">szívműködést idézhet elő, amely az edzéshez hasonló funkcionális javulást eredményez.</w:t>
      </w:r>
      <w:r>
        <w:rPr>
          <w:color w:val="000000"/>
          <w:sz w:val="24"/>
          <w:szCs w:val="24"/>
        </w:rPr>
        <w:br/>
        <w:t xml:space="preserve">Támogatás: EKÖP-24-2-DE-167 Egyetemi Kutatói Ösztöndíj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50100">
    <w:multiLevelType w:val="hybridMultilevel"/>
    <w:lvl w:ilvl="0" w:tplc="88443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50100">
    <w:abstractNumId w:val="98150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261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