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SZÉLES NÁNDOR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nakonako0404@gmail.com</w:t>
            </w:r>
            <w:r w:rsidRPr="001067CD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Bucsku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Hunyadi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Reakcióidő és szem-kéz koordináció fejlesztésének lehetőségei kézilabdázók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Gyógytorna; prevenció; kézilabda; reakcióidő; szem-kéz koordináció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kézilabdában a dinamikus irányváltások és fizikai kontaktok miatt</w:t>
      </w:r>
      <w:r>
        <w:rPr>
          <w:color w:val="000000"/>
          <w:sz w:val="24"/>
          <w:szCs w:val="24"/>
        </w:rPr>
        <w:br/>
        <w:t xml:space="preserve">szükségszerű, hogy a játékosok jó koordinációs képességekkel rendelkezzenek. Ennek</w:t>
      </w:r>
      <w:r>
        <w:rPr>
          <w:color w:val="000000"/>
          <w:sz w:val="24"/>
          <w:szCs w:val="24"/>
        </w:rPr>
        <w:br/>
        <w:t xml:space="preserve">számos formája közül kiemelkedően fontos a kézilabdázóknak a reakciógyorsasága,</w:t>
      </w:r>
      <w:r>
        <w:rPr>
          <w:color w:val="000000"/>
          <w:sz w:val="24"/>
          <w:szCs w:val="24"/>
        </w:rPr>
        <w:br/>
        <w:t xml:space="preserve">valamint szem-kéz koordinációja. Ezen készségek fejlesztése nagyban hozzájárul a</w:t>
      </w:r>
      <w:r>
        <w:rPr>
          <w:color w:val="000000"/>
          <w:sz w:val="24"/>
          <w:szCs w:val="24"/>
        </w:rPr>
        <w:br/>
        <w:t xml:space="preserve">sportteljesítmény maximalizálásához, továbbá a sérülések megelőzése szempontjából is</w:t>
      </w:r>
      <w:r>
        <w:rPr>
          <w:color w:val="000000"/>
          <w:sz w:val="24"/>
          <w:szCs w:val="24"/>
        </w:rPr>
        <w:br/>
        <w:t xml:space="preserve">jelentős szerepük van.</w:t>
      </w:r>
      <w:r>
        <w:rPr>
          <w:color w:val="000000"/>
          <w:sz w:val="24"/>
          <w:szCs w:val="24"/>
        </w:rPr>
        <w:br/>
        <w:t xml:space="preserve">Célok, hipotézisek: Célul tűztük ki felmérni a kézilabdázók szem-kéz koordinációs</w:t>
      </w:r>
      <w:r>
        <w:rPr>
          <w:color w:val="000000"/>
          <w:sz w:val="24"/>
          <w:szCs w:val="24"/>
        </w:rPr>
        <w:br/>
        <w:t xml:space="preserve">képességeit, valamint reakcióidejük sebességét. Továbbá célul tűztük ki egy olyan</w:t>
      </w:r>
      <w:r>
        <w:rPr>
          <w:color w:val="000000"/>
          <w:sz w:val="24"/>
          <w:szCs w:val="24"/>
        </w:rPr>
        <w:br/>
        <w:t xml:space="preserve">gyógytornász alapelvekre épülő, hosszútávú tornaprogram beintegrálását az</w:t>
      </w:r>
      <w:r>
        <w:rPr>
          <w:color w:val="000000"/>
          <w:sz w:val="24"/>
          <w:szCs w:val="24"/>
        </w:rPr>
        <w:br/>
        <w:t xml:space="preserve">edzésprogramjukba, amellyel fejleszteni tudjuk a sportolók ezen készségeit.</w:t>
      </w:r>
      <w:r>
        <w:rPr>
          <w:color w:val="000000"/>
          <w:sz w:val="24"/>
          <w:szCs w:val="24"/>
        </w:rPr>
        <w:br/>
        <w:t xml:space="preserve">Módszerek: A résztvevők reakciógyorsaságát a Human Benchmark Test (HBT), illetve a</w:t>
      </w:r>
      <w:r>
        <w:rPr>
          <w:color w:val="000000"/>
          <w:sz w:val="24"/>
          <w:szCs w:val="24"/>
        </w:rPr>
        <w:br/>
        <w:t xml:space="preserve">BlazePod rendszer, a szem- kéz koordinációs képesség vizsgálatát a Trail Making Test</w:t>
      </w:r>
      <w:r>
        <w:rPr>
          <w:color w:val="000000"/>
          <w:sz w:val="24"/>
          <w:szCs w:val="24"/>
        </w:rPr>
        <w:br/>
        <w:t xml:space="preserve">(TMT) és a Hit the Dot Test (HDT) segítségével mértük fel. A reakcióidőt és szem-kéz</w:t>
      </w:r>
      <w:r>
        <w:rPr>
          <w:color w:val="000000"/>
          <w:sz w:val="24"/>
          <w:szCs w:val="24"/>
        </w:rPr>
        <w:br/>
        <w:t xml:space="preserve">koordinációt fejlesztő intervenciós programunkat 8 hónapon át végeztük, mely végén</w:t>
      </w:r>
      <w:r>
        <w:rPr>
          <w:color w:val="000000"/>
          <w:sz w:val="24"/>
          <w:szCs w:val="24"/>
        </w:rPr>
        <w:br/>
        <w:t xml:space="preserve">visszamértük a játékosok készségeit, eredményeiket pedig összehasonlítottuk.</w:t>
      </w:r>
      <w:r>
        <w:rPr>
          <w:color w:val="000000"/>
          <w:sz w:val="24"/>
          <w:szCs w:val="24"/>
        </w:rPr>
        <w:br/>
        <w:t xml:space="preserve">Eredmények: Az intervenciós programunkba 13 játékost (átlagéletkor: 14±0 év), míg a</w:t>
      </w:r>
      <w:r>
        <w:rPr>
          <w:color w:val="000000"/>
          <w:sz w:val="24"/>
          <w:szCs w:val="24"/>
        </w:rPr>
        <w:br/>
        <w:t xml:space="preserve">kontrollcsoportba 14 sportolót (átlagéletkor:13,35±0,49 év) válogattunk be, akik nem</w:t>
      </w:r>
      <w:r>
        <w:rPr>
          <w:color w:val="000000"/>
          <w:sz w:val="24"/>
          <w:szCs w:val="24"/>
        </w:rPr>
        <w:br/>
        <w:t xml:space="preserve">részesültek a koordináció- és reakcióidőt fejlesztő mozgásprogramban az edzések során.</w:t>
      </w:r>
      <w:r>
        <w:rPr>
          <w:color w:val="000000"/>
          <w:sz w:val="24"/>
          <w:szCs w:val="24"/>
        </w:rPr>
        <w:br/>
        <w:t xml:space="preserve">Kutatásunk során a BlazePod teszt ,,A’’ részének eredményei alapján azt találtuk, hogy a</w:t>
      </w:r>
      <w:r>
        <w:rPr>
          <w:color w:val="000000"/>
          <w:sz w:val="24"/>
          <w:szCs w:val="24"/>
        </w:rPr>
        <w:br/>
        <w:t xml:space="preserve">speciális tornaprogramot végzett csoportunk szignifikáns fejlődést ért el (p=0,004),</w:t>
      </w:r>
      <w:r>
        <w:rPr>
          <w:color w:val="000000"/>
          <w:sz w:val="24"/>
          <w:szCs w:val="24"/>
        </w:rPr>
        <w:br/>
        <w:t xml:space="preserve">ellenben a kontrollcsoport esetében nem találtunk szignifikáns fejlődést. Továbbá BlazePod</w:t>
      </w:r>
      <w:r>
        <w:rPr>
          <w:color w:val="000000"/>
          <w:sz w:val="24"/>
          <w:szCs w:val="24"/>
        </w:rPr>
        <w:br/>
        <w:t xml:space="preserve">teszt ,,A’’ részében az intervenciós csoport reakcióideje szignifikánsan jobban fejlődött a</w:t>
      </w:r>
      <w:r>
        <w:rPr>
          <w:color w:val="000000"/>
          <w:sz w:val="24"/>
          <w:szCs w:val="24"/>
        </w:rPr>
        <w:br/>
        <w:t xml:space="preserve">kontrollcsoport eredményéhez képest (p=0,010). A BlazePod teszt ,,B” esetében a</w:t>
      </w:r>
      <w:r>
        <w:rPr>
          <w:color w:val="000000"/>
          <w:sz w:val="24"/>
          <w:szCs w:val="24"/>
        </w:rPr>
        <w:br/>
        <w:t xml:space="preserve">célcsoportunk az intervenció után szignifikáns fejlődést mutatott (p=0,019), valamint az</w:t>
      </w:r>
      <w:r>
        <w:rPr>
          <w:color w:val="000000"/>
          <w:sz w:val="24"/>
          <w:szCs w:val="24"/>
        </w:rPr>
        <w:br/>
        <w:t xml:space="preserve">általános edzésben részesülő csoporttal szemben is szignifikánsan jobb eredményt értek el</w:t>
      </w:r>
      <w:r>
        <w:rPr>
          <w:color w:val="000000"/>
          <w:sz w:val="24"/>
          <w:szCs w:val="24"/>
        </w:rPr>
        <w:br/>
        <w:t xml:space="preserve">(pszignifikáns fejlődést mutatott (pszignifikáns különbség figyelhető meg (p=0,047).</w:t>
      </w:r>
      <w:r>
        <w:rPr>
          <w:color w:val="000000"/>
          <w:sz w:val="24"/>
          <w:szCs w:val="24"/>
        </w:rPr>
        <w:br/>
        <w:t xml:space="preserve">Következtetések: Kutatásunk eredményei alapján az általános edzésprogram is</w:t>
      </w:r>
      <w:r>
        <w:rPr>
          <w:color w:val="000000"/>
          <w:sz w:val="24"/>
          <w:szCs w:val="24"/>
        </w:rPr>
        <w:br/>
        <w:t xml:space="preserve">hatékonynak bizonyul, azonban szignifikánsan nagyobb fejlődést mértünk az intervenciós</w:t>
      </w:r>
      <w:r>
        <w:rPr>
          <w:color w:val="000000"/>
          <w:sz w:val="24"/>
          <w:szCs w:val="24"/>
        </w:rPr>
        <w:br/>
        <w:t xml:space="preserve">csoportnál alkalmazott specifikus tornaprogramban résztvevők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93258">
    <w:multiLevelType w:val="hybridMultilevel"/>
    <w:lvl w:ilvl="0" w:tplc="47966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93258">
    <w:abstractNumId w:val="243932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965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