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DAJKA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dajvirag@gmail.com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Rusznyák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Ciklodextrin polimerek: új lehetőségek a génterápiában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RNS; ciklodextrin; polimer; génexpresszió; géncsendesítés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RNS-alapú terápiák egyre jelentősebb szerepet töltenek be a különböző</w:t>
      </w:r>
      <w:r>
        <w:rPr>
          <w:color w:val="000000"/>
          <w:sz w:val="24"/>
          <w:szCs w:val="24"/>
        </w:rPr>
        <w:br/>
        <w:t xml:space="preserve">betegségek kezelésében. Az siRNS egy 21-25 bázispárból álló, duplaszálú molekula, mely</w:t>
      </w:r>
      <w:r>
        <w:rPr>
          <w:color w:val="000000"/>
          <w:sz w:val="24"/>
          <w:szCs w:val="24"/>
        </w:rPr>
        <w:br/>
        <w:t xml:space="preserve">a géncsendesítésben játszik szerepet azáltal, hogy degradálja az mRNS-t. Az mRNS több</w:t>
      </w:r>
      <w:r>
        <w:rPr>
          <w:color w:val="000000"/>
          <w:sz w:val="24"/>
          <w:szCs w:val="24"/>
        </w:rPr>
        <w:br/>
        <w:t xml:space="preserve">száz vagy ezer bázisból álló egyszálú molekula, melyről a kódolt fehérje íródik át,</w:t>
      </w:r>
      <w:r>
        <w:rPr>
          <w:color w:val="000000"/>
          <w:sz w:val="24"/>
          <w:szCs w:val="24"/>
        </w:rPr>
        <w:br/>
        <w:t xml:space="preserve">expresszálódik. Az RNS molekulák nagy molekulaméretüknek és polianionos jellegüknek</w:t>
      </w:r>
      <w:r>
        <w:rPr>
          <w:color w:val="000000"/>
          <w:sz w:val="24"/>
          <w:szCs w:val="24"/>
        </w:rPr>
        <w:br/>
        <w:t xml:space="preserve">köszönhetően nehezen juttathatóak be a sejtekbe. Ezen probléma kiküszöbölésére számos</w:t>
      </w:r>
      <w:r>
        <w:rPr>
          <w:color w:val="000000"/>
          <w:sz w:val="24"/>
          <w:szCs w:val="24"/>
        </w:rPr>
        <w:br/>
        <w:t xml:space="preserve">hordozórendszer áll rendelkezésre, amelyek között gyakran találhatók liposzóma vagy</w:t>
      </w:r>
      <w:r>
        <w:rPr>
          <w:color w:val="000000"/>
          <w:sz w:val="24"/>
          <w:szCs w:val="24"/>
        </w:rPr>
        <w:br/>
        <w:t xml:space="preserve">polimer alapú szállító rendszerek. A ciklodextrinek széles körben alkalmazott</w:t>
      </w:r>
      <w:r>
        <w:rPr>
          <w:color w:val="000000"/>
          <w:sz w:val="24"/>
          <w:szCs w:val="24"/>
        </w:rPr>
        <w:br/>
        <w:t xml:space="preserve">segédanyagok a lipofil molekulák oldhatóságának és biohasznosulásának növelésére, míg</w:t>
      </w:r>
      <w:r>
        <w:rPr>
          <w:color w:val="000000"/>
          <w:sz w:val="24"/>
          <w:szCs w:val="24"/>
        </w:rPr>
        <w:br/>
        <w:t xml:space="preserve">egyes polimer származékaik alkalmasak lehetnek makromolekulák, így az RNS molekulák</w:t>
      </w:r>
      <w:r>
        <w:rPr>
          <w:color w:val="000000"/>
          <w:sz w:val="24"/>
          <w:szCs w:val="24"/>
        </w:rPr>
        <w:br/>
        <w:t xml:space="preserve">szállítására is.</w:t>
      </w:r>
      <w:r>
        <w:rPr>
          <w:color w:val="000000"/>
          <w:sz w:val="24"/>
          <w:szCs w:val="24"/>
        </w:rPr>
        <w:br/>
        <w:t xml:space="preserve">Kutatómunkánk során célul tűztük ki egy pozitívan töltött ciklodextrin polimer, valamint a</w:t>
      </w:r>
      <w:r>
        <w:rPr>
          <w:color w:val="000000"/>
          <w:sz w:val="24"/>
          <w:szCs w:val="24"/>
        </w:rPr>
        <w:br/>
        <w:t xml:space="preserve">polietilén-imin siRNS és mRNS hordozóképességének vizsgálatát, összehasonlítását. A</w:t>
      </w:r>
      <w:r>
        <w:rPr>
          <w:color w:val="000000"/>
          <w:sz w:val="24"/>
          <w:szCs w:val="24"/>
        </w:rPr>
        <w:br/>
        <w:t xml:space="preserve">formulált poliplexek fizikokémiai tulajdonságainak, celluláris internalizációjának, valamint</w:t>
      </w:r>
      <w:r>
        <w:rPr>
          <w:color w:val="000000"/>
          <w:sz w:val="24"/>
          <w:szCs w:val="24"/>
        </w:rPr>
        <w:br/>
        <w:t xml:space="preserve">a géncsendesítésre vagy fehérje expreszsióra gyakorolt hatásuk vizsgálatát.</w:t>
      </w:r>
      <w:r>
        <w:rPr>
          <w:color w:val="000000"/>
          <w:sz w:val="24"/>
          <w:szCs w:val="24"/>
        </w:rPr>
        <w:br/>
        <w:t xml:space="preserve">Az alkalmazott polimerek citotoxicitását MTT módszerrel vizsgáltuk HeLa méhnyak epitél</w:t>
      </w:r>
      <w:r>
        <w:rPr>
          <w:color w:val="000000"/>
          <w:sz w:val="24"/>
          <w:szCs w:val="24"/>
        </w:rPr>
        <w:br/>
        <w:t xml:space="preserve">sejteken. A különböző nitrogén/foszfát (NP) arányban formulált poliplexeket</w:t>
      </w:r>
      <w:r>
        <w:rPr>
          <w:color w:val="000000"/>
          <w:sz w:val="24"/>
          <w:szCs w:val="24"/>
        </w:rPr>
        <w:br/>
        <w:t xml:space="preserve">méreteloszlásuk és zéta-potenciáljuk alapján karakterizáltuk. A polimer és az RNS</w:t>
      </w:r>
      <w:r>
        <w:rPr>
          <w:color w:val="000000"/>
          <w:sz w:val="24"/>
          <w:szCs w:val="24"/>
        </w:rPr>
        <w:br/>
        <w:t xml:space="preserve">molekulák közötti kölcsönhatást gélelektroforézissel is jellemeztük. A hordozórendszerek</w:t>
      </w:r>
      <w:r>
        <w:rPr>
          <w:color w:val="000000"/>
          <w:sz w:val="24"/>
          <w:szCs w:val="24"/>
        </w:rPr>
        <w:br/>
        <w:t xml:space="preserve">celluláris internalizációját és intracelluláris hatásait fluoreszcens mikroszkópiával és</w:t>
      </w:r>
      <w:r>
        <w:rPr>
          <w:color w:val="000000"/>
          <w:sz w:val="24"/>
          <w:szCs w:val="24"/>
        </w:rPr>
        <w:br/>
        <w:t xml:space="preserve">áramlási citometriával vizsgáltuk.</w:t>
      </w:r>
      <w:r>
        <w:rPr>
          <w:color w:val="000000"/>
          <w:sz w:val="24"/>
          <w:szCs w:val="24"/>
        </w:rPr>
        <w:br/>
        <w:t xml:space="preserve">Összességében elmondható, hogy a ciklodextrin polimer alacsonyabb citotoxicitást mutat,</w:t>
      </w:r>
      <w:r>
        <w:rPr>
          <w:color w:val="000000"/>
          <w:sz w:val="24"/>
          <w:szCs w:val="24"/>
        </w:rPr>
        <w:br/>
        <w:t xml:space="preserve">mint a polietilén-imin. Mindkét polimer képes megkötni mind az siRNS-t, mind az mRNSt, azonban a különböző polimerrel formulált poliplexek eltérő celluláris internalizációt</w:t>
      </w:r>
      <w:r>
        <w:rPr>
          <w:color w:val="000000"/>
          <w:sz w:val="24"/>
          <w:szCs w:val="24"/>
        </w:rPr>
        <w:br/>
        <w:t xml:space="preserve">mutatnak. A ciklodextrin polimer alapú hordozórendszerek képesek befolyásolni a fehérjék</w:t>
      </w:r>
      <w:r>
        <w:rPr>
          <w:color w:val="000000"/>
          <w:sz w:val="24"/>
          <w:szCs w:val="24"/>
        </w:rPr>
        <w:br/>
        <w:t xml:space="preserve">expresszióját, azonban a polietilén-iminnel formulált poliplexek nagyobb hatékonyságot</w:t>
      </w:r>
      <w:r>
        <w:rPr>
          <w:color w:val="000000"/>
          <w:sz w:val="24"/>
          <w:szCs w:val="24"/>
        </w:rPr>
        <w:br/>
        <w:t xml:space="preserve">mutatnak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6292">
    <w:multiLevelType w:val="hybridMultilevel"/>
    <w:lvl w:ilvl="0" w:tplc="73338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6292">
    <w:abstractNumId w:val="844662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847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