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SZOTÁK REGINA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regina.szotak0701@gmail.com</w:t>
            </w:r>
            <w:r w:rsidRPr="001067CD">
              <w:rPr>
                <w:i/>
              </w:rPr>
              <w:br/>
            </w:r>
            <w:r w:rsidR="00A96AEC">
              <w:t>Ápolás és betegellátás Gyógytornász szakirány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Bucsku 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DE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Fiatal futballisták sérüléseinek megelőzésére alkalmazott intervenciós program hatékonyságának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Gyógytorna; secunder prevenció; egyensúylfejlesztés, sérülésmegelőzés; labdarúgás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Szakirodalmi kutatások szerint egy komplex fizioterápiás intervenciós program integrálása a</w:t>
      </w:r>
      <w:r>
        <w:rPr>
          <w:color w:val="000000"/>
          <w:sz w:val="24"/>
          <w:szCs w:val="24"/>
        </w:rPr>
        <w:br/>
        <w:t xml:space="preserve">futballisták edzéstervébe jelentős mértékben javíthatja a fiatalkorú sportolók teljesítményét, és hosszú</w:t>
      </w:r>
      <w:r>
        <w:rPr>
          <w:color w:val="000000"/>
          <w:sz w:val="24"/>
          <w:szCs w:val="24"/>
        </w:rPr>
        <w:br/>
        <w:t xml:space="preserve">távon alapvető fontosságú a sérülések megelőzése szempontjából.</w:t>
      </w:r>
      <w:r>
        <w:rPr>
          <w:color w:val="000000"/>
          <w:sz w:val="24"/>
          <w:szCs w:val="24"/>
        </w:rPr>
        <w:br/>
        <w:t xml:space="preserve">Célok, hipotézisek: Kutatásunk célja olyan intervenciós program kidolgozása volt, amely megelőzésről</w:t>
      </w:r>
      <w:r>
        <w:rPr>
          <w:color w:val="000000"/>
          <w:sz w:val="24"/>
          <w:szCs w:val="24"/>
        </w:rPr>
        <w:br/>
        <w:t xml:space="preserve">szóló előadást, prevenciós megközelítéseket és egy speciális mozgásprogramot tartalmazott, fókuszálva a</w:t>
      </w:r>
      <w:r>
        <w:rPr>
          <w:color w:val="000000"/>
          <w:sz w:val="24"/>
          <w:szCs w:val="24"/>
        </w:rPr>
        <w:br/>
        <w:t xml:space="preserve">statikus és dinamikus egyensúly fejlesztésére. Célunk volt továbbá, hogy összehasonlítsuk az intervenciós</w:t>
      </w:r>
      <w:r>
        <w:rPr>
          <w:color w:val="000000"/>
          <w:sz w:val="24"/>
          <w:szCs w:val="24"/>
        </w:rPr>
        <w:br/>
        <w:t xml:space="preserve">programot végző csoport eredményeit egy konvencionális gyógytornában részesülő és egy rendszeres</w:t>
      </w:r>
      <w:r>
        <w:rPr>
          <w:color w:val="000000"/>
          <w:sz w:val="24"/>
          <w:szCs w:val="24"/>
        </w:rPr>
        <w:br/>
        <w:t xml:space="preserve">sportot nem végző csoport eredményeivel.</w:t>
      </w:r>
      <w:r>
        <w:rPr>
          <w:color w:val="000000"/>
          <w:sz w:val="24"/>
          <w:szCs w:val="24"/>
        </w:rPr>
        <w:br/>
        <w:t xml:space="preserve">Módszertan: Intervenciós programunk előtt és közvetlenül az után kérdőíves felmérést végeztünk, amelyet</w:t>
      </w:r>
      <w:r>
        <w:rPr>
          <w:color w:val="000000"/>
          <w:sz w:val="24"/>
          <w:szCs w:val="24"/>
        </w:rPr>
        <w:br/>
        <w:t xml:space="preserve">fizikális állapotfelmérés követett mindhárom csoportban. A felméréseket a Side Hop Teszt (SHT),</w:t>
      </w:r>
      <w:r>
        <w:rPr>
          <w:color w:val="000000"/>
          <w:sz w:val="24"/>
          <w:szCs w:val="24"/>
        </w:rPr>
        <w:br/>
        <w:t xml:space="preserve">Módosított Bass Teszt (MBASS), Módosított Single Leg Stance Teszt (MSLST) és a HUR Balance Board</w:t>
      </w:r>
      <w:r>
        <w:rPr>
          <w:color w:val="000000"/>
          <w:sz w:val="24"/>
          <w:szCs w:val="24"/>
        </w:rPr>
        <w:br/>
        <w:t xml:space="preserve">segítségével végeztük. A 6 hónapos intervenciót követően 3 hónappal ismételtük meg a sportsérülések</w:t>
      </w:r>
      <w:r>
        <w:rPr>
          <w:color w:val="000000"/>
          <w:sz w:val="24"/>
          <w:szCs w:val="24"/>
        </w:rPr>
        <w:br/>
        <w:t xml:space="preserve">monitorozását egy ellenőrző kérdőív segítségével.</w:t>
      </w:r>
      <w:r>
        <w:rPr>
          <w:color w:val="000000"/>
          <w:sz w:val="24"/>
          <w:szCs w:val="24"/>
        </w:rPr>
        <w:br/>
        <w:t xml:space="preserve">Eredmények: Kutatásunkban összesen 74 fő vett részt. Az intervenciós csoportunkba 24 főt (átlagéletkor:</w:t>
      </w:r>
      <w:r>
        <w:rPr>
          <w:color w:val="000000"/>
          <w:sz w:val="24"/>
          <w:szCs w:val="24"/>
        </w:rPr>
        <w:br/>
        <w:t xml:space="preserve">11,70±0,62 év), a konvencionális gyógytorna csoportba 25 főt (átlagéletkor: 11,76±0,59 év), valamint a</w:t>
      </w:r>
      <w:r>
        <w:rPr>
          <w:color w:val="000000"/>
          <w:sz w:val="24"/>
          <w:szCs w:val="24"/>
        </w:rPr>
        <w:br/>
        <w:t xml:space="preserve">nem sportoló csoportba 25 főt vontunk be (átlagéletkor: 11,80±0,57 év). Az intervenciós csoportban az</w:t>
      </w:r>
      <w:r>
        <w:rPr>
          <w:color w:val="000000"/>
          <w:sz w:val="24"/>
          <w:szCs w:val="24"/>
        </w:rPr>
        <w:br/>
        <w:t xml:space="preserve">SHT, SLST és MBASS tesztek tekintetében erősen szignifikáns javulás volt megfigyelhető (p&lt;0,001). A</w:t>
      </w:r>
      <w:r>
        <w:rPr>
          <w:color w:val="000000"/>
          <w:sz w:val="24"/>
          <w:szCs w:val="24"/>
        </w:rPr>
        <w:br/>
        <w:t xml:space="preserve">HUR vizsgálat eredményi szerint az intervenciós csoportban szignifikáns javulás volt látható (p=0,002),</w:t>
      </w:r>
      <w:r>
        <w:rPr>
          <w:color w:val="000000"/>
          <w:sz w:val="24"/>
          <w:szCs w:val="24"/>
        </w:rPr>
        <w:br/>
        <w:t xml:space="preserve">míg a gyógytornában részesülők és a nem sportoló csoport eredményei nem változtak szignifikánsan</w:t>
      </w:r>
      <w:r>
        <w:rPr>
          <w:color w:val="000000"/>
          <w:sz w:val="24"/>
          <w:szCs w:val="24"/>
        </w:rPr>
        <w:br/>
        <w:t xml:space="preserve">(p&gt;0,05). Az intervenciós csoport 12,5%-a használt a program előtt valamilyen sérülést megelőző eszközt,</w:t>
      </w:r>
      <w:r>
        <w:rPr>
          <w:color w:val="000000"/>
          <w:sz w:val="24"/>
          <w:szCs w:val="24"/>
        </w:rPr>
        <w:br/>
        <w:t xml:space="preserve">mely érték 100%-ra emelkedett az intervenciós program után; továbbá szignifikánsan kevesebb sérülés volt</w:t>
      </w:r>
      <w:r>
        <w:rPr>
          <w:color w:val="000000"/>
          <w:sz w:val="24"/>
          <w:szCs w:val="24"/>
        </w:rPr>
        <w:br/>
        <w:t xml:space="preserve">az intervenciós csoportban (p=0,017), míg a gyógytorna csoportban nem volt szignifikáns csökkenés</w:t>
      </w:r>
      <w:r>
        <w:rPr>
          <w:color w:val="000000"/>
          <w:sz w:val="24"/>
          <w:szCs w:val="24"/>
        </w:rPr>
        <w:br/>
        <w:t xml:space="preserve">tapasztalható (p=0,232).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 Eredményeink alapján megállapítottuk, hogy egy komplex gyógytorna</w:t>
      </w:r>
      <w:r>
        <w:rPr>
          <w:color w:val="000000"/>
          <w:sz w:val="24"/>
          <w:szCs w:val="24"/>
        </w:rPr>
        <w:br/>
        <w:t xml:space="preserve">intervenciós program szignifikánsan javította az egyensúlyozó képességet, csökkentette a sérülések</w:t>
      </w:r>
      <w:r>
        <w:rPr>
          <w:color w:val="000000"/>
          <w:sz w:val="24"/>
          <w:szCs w:val="24"/>
        </w:rPr>
        <w:br/>
        <w:t xml:space="preserve">számát, és hatékonyan támogatta a prevenciót a vizsgált csoportban.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777483">
    <w:multiLevelType w:val="hybridMultilevel"/>
    <w:lvl w:ilvl="0" w:tplc="510588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777483">
    <w:abstractNumId w:val="347774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89286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