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GABRIELLA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gabi.reka.samu@gmail.com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Sasi Szabó László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főorvos,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a gyermekkori komplikált appendicitis (CA) kezelésében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gyermekkori; komplikált; appendicitis; szövődmények; 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gyermekkori akut appendicitis komplikált formájának (CA) optimális kezelése ma is</w:t>
      </w:r>
      <w:r>
        <w:rPr>
          <w:color w:val="000000"/>
          <w:sz w:val="24"/>
          <w:szCs w:val="24"/>
        </w:rPr>
        <w:br/>
        <w:t xml:space="preserve">vitatott.</w:t>
      </w:r>
      <w:r>
        <w:rPr>
          <w:color w:val="000000"/>
          <w:sz w:val="24"/>
          <w:szCs w:val="24"/>
        </w:rPr>
        <w:br/>
        <w:t xml:space="preserve">Vizsgálatunk célja a sebészi technika, antibiotikum-rezisztencia és terápia hatásának</w:t>
      </w:r>
      <w:r>
        <w:rPr>
          <w:color w:val="000000"/>
          <w:sz w:val="24"/>
          <w:szCs w:val="24"/>
        </w:rPr>
        <w:br/>
        <w:t xml:space="preserve">elemzése volt a CA szövődményeinek és a kórházi ápolási napok (LOS) alakulására.</w:t>
      </w:r>
      <w:r>
        <w:rPr>
          <w:color w:val="000000"/>
          <w:sz w:val="24"/>
          <w:szCs w:val="24"/>
        </w:rPr>
        <w:br/>
        <w:t xml:space="preserve">Retrospektív adatfeldolgozással a DEKK Gyermekklinika Gyermeksebészeti Osztályán</w:t>
      </w:r>
      <w:r>
        <w:rPr>
          <w:color w:val="000000"/>
          <w:sz w:val="24"/>
          <w:szCs w:val="24"/>
        </w:rPr>
        <w:br/>
        <w:t xml:space="preserve">2008-2023 között CA miatt appendectomián átesett 0-18 éves betegek adatait elemeztük,</w:t>
      </w:r>
      <w:r>
        <w:rPr>
          <w:color w:val="000000"/>
          <w:sz w:val="24"/>
          <w:szCs w:val="24"/>
        </w:rPr>
        <w:br/>
        <w:t xml:space="preserve">az osztály kezelési protokolljának változása alapján 3 intervallumban (2008-2013, 2014-</w:t>
      </w:r>
      <w:r>
        <w:rPr>
          <w:color w:val="000000"/>
          <w:sz w:val="24"/>
          <w:szCs w:val="24"/>
        </w:rPr>
        <w:br/>
        <w:t xml:space="preserve">2018, 2019-2023). Összehasonlítottuk a laparoscopos (LSC) és nyílt (OA) műtéti</w:t>
      </w:r>
      <w:r>
        <w:rPr>
          <w:color w:val="000000"/>
          <w:sz w:val="24"/>
          <w:szCs w:val="24"/>
        </w:rPr>
        <w:br/>
        <w:t xml:space="preserve">technikák, az antibiotikumos terápia és bakteriális rezisztencia hatását a szövődmények és</w:t>
      </w:r>
      <w:r>
        <w:rPr>
          <w:color w:val="000000"/>
          <w:sz w:val="24"/>
          <w:szCs w:val="24"/>
        </w:rPr>
        <w:br/>
        <w:t xml:space="preserve">a LOS alakulására. Az adatok elemzésére khi-négyzet próbát, Fisher-féle egzakt tesztet,</w:t>
      </w:r>
      <w:r>
        <w:rPr>
          <w:color w:val="000000"/>
          <w:sz w:val="24"/>
          <w:szCs w:val="24"/>
        </w:rPr>
        <w:br/>
        <w:t xml:space="preserve">Kruskal-Wallis-próbát és Dunn-tesztet Bonferroni korrekcióval alkalmaztunk.</w:t>
      </w:r>
      <w:r>
        <w:rPr>
          <w:color w:val="000000"/>
          <w:sz w:val="24"/>
          <w:szCs w:val="24"/>
        </w:rPr>
        <w:br/>
        <w:t xml:space="preserve">Az egyes időszakokban 113, 102 és 128 beteget operáltunk CA diagnózissal, a betegkohorszok homogénnek tekinthetők. A szövődményráta a 3 periódusban konstansnak</w:t>
      </w:r>
      <w:r>
        <w:rPr>
          <w:color w:val="000000"/>
          <w:sz w:val="24"/>
          <w:szCs w:val="24"/>
        </w:rPr>
        <w:br/>
        <w:t xml:space="preserve">adódott (19,47%, 20,59%, 20,31%). A műtéti technika (LSC vs OA) nem befolyásolta a</w:t>
      </w:r>
      <w:r>
        <w:rPr>
          <w:color w:val="000000"/>
          <w:sz w:val="24"/>
          <w:szCs w:val="24"/>
        </w:rPr>
        <w:br/>
        <w:t xml:space="preserve">szövődmények előfordulását (p=0.460; p=0.066; p=0.507). Súlyos szövődmények</w:t>
      </w:r>
      <w:r>
        <w:rPr>
          <w:color w:val="000000"/>
          <w:sz w:val="24"/>
          <w:szCs w:val="24"/>
        </w:rPr>
        <w:br/>
        <w:t xml:space="preserve">(Clavien-Madadi IIIA, IIIB) kezelésében 2013 előtt a reoperációs (64,28%), 2019-től az</w:t>
      </w:r>
      <w:r>
        <w:rPr>
          <w:color w:val="000000"/>
          <w:sz w:val="24"/>
          <w:szCs w:val="24"/>
        </w:rPr>
        <w:br/>
        <w:t xml:space="preserve">intervenciós eljárások domináltak (81,81%). Az antibiotikum-terápia hármas</w:t>
      </w:r>
      <w:r>
        <w:rPr>
          <w:color w:val="000000"/>
          <w:sz w:val="24"/>
          <w:szCs w:val="24"/>
        </w:rPr>
        <w:br/>
        <w:t xml:space="preserve">kombinációról (2008-2013) carbapenem vagy piperacillin/tazobactam monoterápiára</w:t>
      </w:r>
      <w:r>
        <w:rPr>
          <w:color w:val="000000"/>
          <w:sz w:val="24"/>
          <w:szCs w:val="24"/>
        </w:rPr>
        <w:br/>
        <w:t xml:space="preserve">változott (2019-2023). A vizsgálati periódusban a carbapenem-rezisztencia növekedése</w:t>
      </w:r>
      <w:r>
        <w:rPr>
          <w:color w:val="000000"/>
          <w:sz w:val="24"/>
          <w:szCs w:val="24"/>
        </w:rPr>
        <w:br/>
        <w:t xml:space="preserve">volt igazolható (0%→8%). A Fisher-féle egzakt teszt alapján az eltérő antibiotikumos</w:t>
      </w:r>
      <w:r>
        <w:rPr>
          <w:color w:val="000000"/>
          <w:sz w:val="24"/>
          <w:szCs w:val="24"/>
        </w:rPr>
        <w:br/>
        <w:t xml:space="preserve">kezelések hatásfoka, még a gyógyszer-rezisztenciát is figyelembe véve, azonosnak volt</w:t>
      </w:r>
      <w:r>
        <w:rPr>
          <w:color w:val="000000"/>
          <w:sz w:val="24"/>
          <w:szCs w:val="24"/>
        </w:rPr>
        <w:br/>
        <w:t xml:space="preserve">tekinthető (kombinációs terápia: 2008-2013: p=0.5078, 2014-2018: p=0.326; carbapenem</w:t>
      </w:r>
      <w:r>
        <w:rPr>
          <w:color w:val="000000"/>
          <w:sz w:val="24"/>
          <w:szCs w:val="24"/>
        </w:rPr>
        <w:br/>
        <w:t xml:space="preserve">terápia 2019-2023: p=1). A Kruskal-Wallis teszt eredménye alapján a szövődményes CA</w:t>
      </w:r>
      <w:r>
        <w:rPr>
          <w:color w:val="000000"/>
          <w:sz w:val="24"/>
          <w:szCs w:val="24"/>
        </w:rPr>
        <w:br/>
        <w:t xml:space="preserve">betegek LOS medián értéke közel azonos (10, 9, 9 nap), közöttük szignifikáns különbség</w:t>
      </w:r>
      <w:r>
        <w:rPr>
          <w:color w:val="000000"/>
          <w:sz w:val="24"/>
          <w:szCs w:val="24"/>
        </w:rPr>
        <w:br/>
        <w:t xml:space="preserve">nincs (H2=2.820; p=0.239). Szövődménymentes kórlefolyás esetén a LOS szignifikáns</w:t>
      </w:r>
      <w:r>
        <w:rPr>
          <w:color w:val="000000"/>
          <w:sz w:val="24"/>
          <w:szCs w:val="24"/>
        </w:rPr>
        <w:br/>
        <w:t xml:space="preserve">csökkenése volt igazolható (7, 7, 6 nap - H2=24.600; p&lt;0.005), amit egyedül a parenterális</w:t>
      </w:r>
      <w:r>
        <w:rPr>
          <w:color w:val="000000"/>
          <w:sz w:val="24"/>
          <w:szCs w:val="24"/>
        </w:rPr>
        <w:br/>
        <w:t xml:space="preserve">antibiotikumos kezelés hosszának rövidülése magyaráz.</w:t>
      </w:r>
      <w:r>
        <w:rPr>
          <w:color w:val="000000"/>
          <w:sz w:val="24"/>
          <w:szCs w:val="24"/>
        </w:rPr>
        <w:br/>
        <w:t xml:space="preserve">Elemzéseink alapján a gyermekkori CA betegeknél a LOS-ra és a szövődmények</w:t>
      </w:r>
      <w:r>
        <w:rPr>
          <w:color w:val="000000"/>
          <w:sz w:val="24"/>
          <w:szCs w:val="24"/>
        </w:rPr>
        <w:br/>
        <w:t xml:space="preserve">kialakulására nincs hatással az alkalmazott műtéti technika és antibiotikumos kezelés; a</w:t>
      </w:r>
      <w:r>
        <w:rPr>
          <w:color w:val="000000"/>
          <w:sz w:val="24"/>
          <w:szCs w:val="24"/>
        </w:rPr>
        <w:br/>
        <w:t xml:space="preserve">LOS-t szövődménymentes eseteknél a parenterális antimikrobiális kezelés tartama</w:t>
      </w:r>
      <w:r>
        <w:rPr>
          <w:color w:val="000000"/>
          <w:sz w:val="24"/>
          <w:szCs w:val="24"/>
        </w:rPr>
        <w:br/>
        <w:t xml:space="preserve">határozza meg. Az antibiotikum-rezisztencia növekedése nem növelte a terápiás kudarcok</w:t>
      </w:r>
      <w:r>
        <w:rPr>
          <w:color w:val="000000"/>
          <w:sz w:val="24"/>
          <w:szCs w:val="24"/>
        </w:rPr>
        <w:br/>
        <w:t xml:space="preserve">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15674">
    <w:multiLevelType w:val="hybridMultilevel"/>
    <w:lvl w:ilvl="0" w:tplc="72935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15674">
    <w:abstractNumId w:val="26015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397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