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PÁSZTOR PATRIK</w:t>
            </w:r>
          </w:p>
          <w:p w:rsidR="00C275A3" w:rsidRDefault="00CA6B74" w:rsidP="00C275A3">
            <w:pPr>
              <w:pStyle w:val="Hallgatokepzes"/>
            </w:pPr>
            <w:r w:rsidRPr="001067CD">
              <w:rPr>
                <w:i/>
              </w:rPr>
              <w:t>pasztor.patrik@stud.semmelweis.hu</w:t>
            </w:r>
            <w:r w:rsidRPr="001067CD">
              <w:rPr>
                <w:i/>
              </w:rPr>
              <w:br/>
            </w:r>
            <w:r w:rsidR="00A96AEC">
              <w:t>Ápoló</w:t>
            </w:r>
            <w:r w:rsidR="00A96AEC">
              <w:br/>
            </w:r>
            <w:r w:rsidR="00E77B23">
              <w:t>BSc, 6. félév</w:t>
            </w:r>
          </w:p>
          <w:p w:rsidR="00C265CE" w:rsidRPr="009E5FF1" w:rsidRDefault="00E77B23" w:rsidP="00BA6BAF">
            <w:pPr>
              <w:pStyle w:val="Hallgatointezmeny-kar"/>
              <w:rPr>
                <w:b/>
                <w:caps/>
              </w:rPr>
            </w:pPr>
            <w:r>
              <w:t>Semmelweis 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Gadó Klára</w:t>
            </w:r>
          </w:p>
          <w:p w:rsidR="00DB4822" w:rsidRDefault="00DB4822" w:rsidP="00BA6BAF">
            <w:pPr>
              <w:pStyle w:val="Konzulensektitulus"/>
            </w:pPr>
            <w:r w:rsidRPr="00DB4822">
              <w:t>főiskolai tanár, dékánhelyettes, SE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Vérszegénység gyakoriságának megítélése apixabant és rivaroxabant szedő betegek körében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DOAC; vérszegénység; apixaban; rivaroxaban; minor vérzés</w:t>
      </w:r>
      <w:r>
        <w:t xml:space="preserve"/>
      </w:r>
    </w:p>
    <w:p>
      <w:pPr>
        <w:widowControl w:val="on"/>
        <w:pBdr/>
        <w:spacing w:before="240" w:after="240" w:line="240" w:lineRule="auto"/>
        <w:ind w:left="0" w:right="0"/>
        <w:jc w:val="left"/>
      </w:pPr>
      <w:r>
        <w:rPr>
          <w:color w:val="000000"/>
          <w:sz w:val="24"/>
          <w:szCs w:val="24"/>
        </w:rPr>
        <w:t xml:space="preserve">Bevezetés: A direkt orális antikoagulánsok alkalmazása egyre elterjedtebb. Előnyüknek tekintik, hogy fix dózisban alkalmazhatók, és nem igényelnek folyamatos laboratóriumi monitorozást. Valójában, nem áll rendelkezésünkre olyan egyszerű laboratóriumi vizsgálati módszer, amellyel ellenőrizhetnénk az alvadásgátló hatás hatékonyságát és biztonságosságát. Ezért, bár használatuk kényelmes, óvatosaknak kell lennünk a mellékhatásokkal kapcsolatban. A maior vérzéses eseményekkel (stroke, nagy gasztrointesztinális vérzés) szemben a minor vérzések gyakran rejtve maradnak, ezért az anémia kialakulása a hosszú távú terápia során külön figyelmet igényel.</w:t>
      </w:r>
    </w:p>
    <w:p>
      <w:pPr>
        <w:widowControl w:val="on"/>
        <w:pBdr/>
        <w:spacing w:before="240" w:after="240" w:line="240" w:lineRule="auto"/>
        <w:ind w:left="0" w:right="0"/>
        <w:jc w:val="left"/>
      </w:pPr>
      <w:r>
        <w:rPr>
          <w:color w:val="000000"/>
          <w:sz w:val="24"/>
          <w:szCs w:val="24"/>
        </w:rPr>
        <w:t xml:space="preserve">Célkitűzés: Munkánk során arra a kérdésre kerestük a választ, hogy rivaroxabannal vagy apixabannal kezelt betegek esetében milyen gyakran alakul ki vérszegénység.</w:t>
      </w:r>
    </w:p>
    <w:p>
      <w:pPr>
        <w:widowControl w:val="on"/>
        <w:pBdr/>
        <w:spacing w:before="240" w:after="240" w:line="240" w:lineRule="auto"/>
        <w:ind w:left="0" w:right="0"/>
        <w:jc w:val="left"/>
      </w:pPr>
      <w:r>
        <w:rPr>
          <w:color w:val="000000"/>
          <w:sz w:val="24"/>
          <w:szCs w:val="24"/>
        </w:rPr>
        <w:t xml:space="preserve">Módszer: A Semmelweis Egyetem Hemosztazeológiai ambulanciáján megjelent apixabant vagy rivaroxabant szedő betegek (86 nő és 69 férfi, összesen 155 beteg) adatait dolgoztuk fel retrospektív módon. Az apixaban és rivaroxaban gyógyszerszint vizsgálatokat Siemens BCS-XP automatán, BIOPHEN reagenssel mértük, a vérkép vizsgálatot Sysmex XN-1000 automatán végeztük. A vasháztartás paramétereit Siemens Atellica Solution kémiai automatán határoztuk meg. Statisztikai értékelés Microsoft Excel 2016 és IBM SPSS Statistics 29.0.1.0 programmal történt.</w:t>
      </w:r>
    </w:p>
    <w:p>
      <w:pPr>
        <w:widowControl w:val="on"/>
        <w:pBdr/>
        <w:spacing w:before="240" w:after="240" w:line="240" w:lineRule="auto"/>
        <w:ind w:left="0" w:right="0"/>
        <w:jc w:val="left"/>
      </w:pPr>
      <w:r>
        <w:rPr>
          <w:color w:val="000000"/>
          <w:sz w:val="24"/>
          <w:szCs w:val="24"/>
        </w:rPr>
        <w:t xml:space="preserve">Eredmények: A vizsgálatban részt vevő betegek 32%-a vérszegény (hemoglobin </w:t>
      </w:r>
      <w:r>
        <w:rPr>
          <w:color w:val="000000"/>
          <w:sz w:val="24"/>
          <w:szCs w:val="24"/>
        </w:rPr>
        <w:t xml:space="preserve"> </w:t>
      </w:r>
      <w:r>
        <w:rPr>
          <w:color w:val="000000"/>
          <w:position w:val="-3"/>
          <w:sz w:val="24"/>
          <w:szCs w:val="24"/>
        </w:rPr>
        <w:drawing>
          <wp:inline distT="0" distB="0" distL="0" distR="0">
            <wp:extent cx="115200" cy="93600"/>
            <wp:docPr id="1389789" name="name167b4e58b0929b" descr="imgtmp_109040_hu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09040_hu_1.gif"/>
                    <pic:cNvPicPr/>
                  </pic:nvPicPr>
                  <pic:blipFill>
                    <a:blip r:embed="rId167b4e58b0925d" cstate="print"/>
                    <a:stretch>
                      <a:fillRect/>
                    </a:stretch>
                  </pic:blipFill>
                  <pic:spPr>
                    <a:xfrm>
                      <a:off x="0" y="0"/>
                      <a:ext cx="115200" cy="93600"/>
                    </a:xfrm>
                    <a:prstGeom prst="rect">
                      <a:avLst/>
                    </a:prstGeom>
                    <a:ln w="0">
                      <a:noFill/>
                    </a:ln>
                  </pic:spPr>
                </pic:pic>
              </a:graphicData>
            </a:graphic>
          </wp:inline>
        </w:drawing>
      </w:r>
      <w:r>
        <w:rPr>
          <w:color w:val="000000"/>
          <w:sz w:val="24"/>
          <w:szCs w:val="24"/>
        </w:rPr>
        <w:t xml:space="preserve"> 120 g/L), 2,58%-uk pedig súlyosan vérszegény (hemoglobin </w:t>
      </w:r>
      <w:r>
        <w:rPr>
          <w:color w:val="000000"/>
          <w:sz w:val="24"/>
          <w:szCs w:val="24"/>
        </w:rPr>
        <w:t xml:space="preserve"> </w:t>
      </w:r>
      <w:r>
        <w:rPr>
          <w:color w:val="000000"/>
          <w:position w:val="-3"/>
          <w:sz w:val="24"/>
          <w:szCs w:val="24"/>
        </w:rPr>
        <w:drawing>
          <wp:inline distT="0" distB="0" distL="0" distR="0">
            <wp:extent cx="115200" cy="93600"/>
            <wp:docPr id="44933906" name="name167b4e58b0940b" descr="imgtmp_109040_hu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09040_hu_2.gif"/>
                    <pic:cNvPicPr/>
                  </pic:nvPicPr>
                  <pic:blipFill>
                    <a:blip r:embed="rId167b4e58b093d0" cstate="print"/>
                    <a:stretch>
                      <a:fillRect/>
                    </a:stretch>
                  </pic:blipFill>
                  <pic:spPr>
                    <a:xfrm>
                      <a:off x="0" y="0"/>
                      <a:ext cx="115200" cy="93600"/>
                    </a:xfrm>
                    <a:prstGeom prst="rect">
                      <a:avLst/>
                    </a:prstGeom>
                    <a:ln w="0">
                      <a:noFill/>
                    </a:ln>
                  </pic:spPr>
                </pic:pic>
              </a:graphicData>
            </a:graphic>
          </wp:inline>
        </w:drawing>
      </w:r>
      <w:r>
        <w:rPr>
          <w:color w:val="000000"/>
          <w:sz w:val="24"/>
          <w:szCs w:val="24"/>
        </w:rPr>
        <w:t xml:space="preserve"> 80 g/L) volt. Az anémiás betegek átlagos szérum-vas szintje 10,0 µmol/L, míg a nem anémiásoké 14,5 µmol/L volt, ez szignifikáns különbséget jelent (p </w:t>
      </w:r>
      <w:r>
        <w:rPr>
          <w:color w:val="000000"/>
          <w:sz w:val="24"/>
          <w:szCs w:val="24"/>
        </w:rPr>
        <w:t xml:space="preserve"> </w:t>
      </w:r>
      <w:r>
        <w:rPr>
          <w:color w:val="000000"/>
          <w:position w:val="-3"/>
          <w:sz w:val="24"/>
          <w:szCs w:val="24"/>
        </w:rPr>
        <w:drawing>
          <wp:inline distT="0" distB="0" distL="0" distR="0">
            <wp:extent cx="115200" cy="93600"/>
            <wp:docPr id="70322383" name="name167b4e58b094f5" descr="imgtmp_109040_hu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09040_hu_3.gif"/>
                    <pic:cNvPicPr/>
                  </pic:nvPicPr>
                  <pic:blipFill>
                    <a:blip r:embed="rId167b4e58b094b9" cstate="print"/>
                    <a:stretch>
                      <a:fillRect/>
                    </a:stretch>
                  </pic:blipFill>
                  <pic:spPr>
                    <a:xfrm>
                      <a:off x="0" y="0"/>
                      <a:ext cx="115200" cy="93600"/>
                    </a:xfrm>
                    <a:prstGeom prst="rect">
                      <a:avLst/>
                    </a:prstGeom>
                    <a:ln w="0">
                      <a:noFill/>
                    </a:ln>
                  </pic:spPr>
                </pic:pic>
              </a:graphicData>
            </a:graphic>
          </wp:inline>
        </w:drawing>
      </w:r>
      <w:r>
        <w:rPr>
          <w:color w:val="000000"/>
          <w:sz w:val="24"/>
          <w:szCs w:val="24"/>
        </w:rPr>
        <w:t xml:space="preserve"> 0,003). A nők körében jelentősen alacsonyabb volt a szérum-vas koncentráció (p </w:t>
      </w:r>
      <w:r>
        <w:rPr>
          <w:color w:val="000000"/>
          <w:sz w:val="24"/>
          <w:szCs w:val="24"/>
        </w:rPr>
        <w:t xml:space="preserve"> </w:t>
      </w:r>
      <w:r>
        <w:rPr>
          <w:color w:val="000000"/>
          <w:position w:val="-3"/>
          <w:sz w:val="24"/>
          <w:szCs w:val="24"/>
        </w:rPr>
        <w:drawing>
          <wp:inline distT="0" distB="0" distL="0" distR="0">
            <wp:extent cx="115200" cy="93600"/>
            <wp:docPr id="15225688" name="name167b4e58b095d3" descr="imgtmp_109040_hu_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09040_hu_4.gif"/>
                    <pic:cNvPicPr/>
                  </pic:nvPicPr>
                  <pic:blipFill>
                    <a:blip r:embed="rId167b4e58b09598" cstate="print"/>
                    <a:stretch>
                      <a:fillRect/>
                    </a:stretch>
                  </pic:blipFill>
                  <pic:spPr>
                    <a:xfrm>
                      <a:off x="0" y="0"/>
                      <a:ext cx="115200" cy="93600"/>
                    </a:xfrm>
                    <a:prstGeom prst="rect">
                      <a:avLst/>
                    </a:prstGeom>
                    <a:ln w="0">
                      <a:noFill/>
                    </a:ln>
                  </pic:spPr>
                </pic:pic>
              </a:graphicData>
            </a:graphic>
          </wp:inline>
        </w:drawing>
      </w:r>
      <w:r>
        <w:rPr>
          <w:color w:val="000000"/>
          <w:sz w:val="24"/>
          <w:szCs w:val="24"/>
        </w:rPr>
        <w:t xml:space="preserve"> 0,05), mint a férfiak esetében.</w:t>
      </w:r>
    </w:p>
    <w:p>
      <w:pPr>
        <w:widowControl w:val="on"/>
        <w:pBdr/>
        <w:spacing w:before="240" w:after="240" w:line="240" w:lineRule="auto"/>
        <w:ind w:left="0" w:right="0"/>
        <w:jc w:val="left"/>
      </w:pPr>
      <w:r>
        <w:rPr>
          <w:color w:val="000000"/>
          <w:sz w:val="24"/>
          <w:szCs w:val="24"/>
        </w:rPr>
        <w:t xml:space="preserve">Következtetések: Az eredmények arra utalnak, hogy az apixabant és rivaroxabant szedő betegek körében lényegesen gyakoribb a vérszegénység, mint ahogy gondolnánk. Ez valószínűleg minor vérzést okozó gyógyszermellékhatás. Ezért egyértelműen hibás az a klinikai szemlélet, hogy a direkt orális antikoagulánsok esetében nincs szükség ellenőrzésre. Éppen ellenkezőleg, a betegeket nagyon gondosan követnünk kell. Valójában, a rendszeres ellenőrzés segíthet időben kiszűrni a vérszegénységet eredményező minor vérzéseket, ezzel lehetőséget teremt a kellő időben történő beavatkozásra.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350057">
    <w:multiLevelType w:val="hybridMultilevel"/>
    <w:lvl w:ilvl="0" w:tplc="795275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350057">
    <w:abstractNumId w:val="483500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9013309" Type="http://schemas.openxmlformats.org/officeDocument/2006/relationships/numbering" Target="numbering.xml"/><Relationship Id="rId167b4e58b0925d" Type="http://schemas.openxmlformats.org/officeDocument/2006/relationships/image" Target="media/imgrId167b4e58b0925d.gif"/><Relationship Id="rId167b4e58b093d0" Type="http://schemas.openxmlformats.org/officeDocument/2006/relationships/image" Target="media/imgrId167b4e58b093d0.gif"/><Relationship Id="rId167b4e58b094b9" Type="http://schemas.openxmlformats.org/officeDocument/2006/relationships/image" Target="media/imgrId167b4e58b094b9.gif"/><Relationship Id="rId167b4e58b09598" Type="http://schemas.openxmlformats.org/officeDocument/2006/relationships/image" Target="media/imgrId167b4e58b09598.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