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KIRCHLECHNER-FARKAS JUDIT MÁRIA</w:t>
            </w:r>
          </w:p>
          <w:p w:rsidR="00C275A3" w:rsidRDefault="00CA6B74" w:rsidP="00C275A3">
            <w:pPr>
              <w:pStyle w:val="Hallgatokepzes"/>
            </w:pPr>
            <w:r w:rsidRPr="001067CD">
              <w:rPr>
                <w:i/>
              </w:rPr>
              <w:t>kirchlechner.farkas.jmi@gmail.com</w:t>
            </w:r>
            <w:r w:rsidRPr="001067CD">
              <w:rPr>
                <w:i/>
              </w:rPr>
              <w:br/>
            </w:r>
            <w:r w:rsidR="00A96AEC">
              <w:t>általános orvos</w:t>
            </w:r>
            <w:r w:rsidR="00A96AEC">
              <w:br/>
            </w:r>
            <w:r w:rsidR="00E77B23">
              <w:t>Osztatlan, 12.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MOHAMED ABDULRAHMAN KARIM</w:t>
            </w:r>
          </w:p>
          <w:p w:rsidR="00DB4822" w:rsidRDefault="00CA6B74" w:rsidP="004D7940">
            <w:pPr>
              <w:pStyle w:val="Hallgatokepzes"/>
            </w:pPr>
            <w:r w:rsidRPr="001067CD">
              <w:rPr>
                <w:i/>
              </w:rPr>
              <w:t>karimabdulrahmanmohamed@gmail.com</w:t>
            </w:r>
            <w:bookmarkStart w:id="1" w:name="_GoBack"/>
            <w:bookmarkEnd w:id="1"/>
            <w:r w:rsidRPr="001067CD">
              <w:br/>
            </w:r>
            <w:r w:rsidR="00C275A3">
              <w:t>általános orvos</w:t>
            </w:r>
            <w:r w:rsidR="00A96AEC">
              <w:br/>
              <w:t>Osztatlan, 6.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Al-Khrasani Mahmoud</w:t>
            </w:r>
          </w:p>
          <w:p w:rsidR="00DB4822" w:rsidRDefault="00DB4822" w:rsidP="00BA6BAF">
            <w:pPr>
              <w:pStyle w:val="Konzulensektitulus"/>
            </w:pPr>
            <w:r w:rsidRPr="00DB4822">
              <w:t>egyetemi docens, SE ÁOK</w:t>
            </w:r>
          </w:p>
        </w:tc>
      </w:tr>
      <w:tr w:rsidR="00DB4822" w:rsidTr="00DB4822">
        <w:tc>
          <w:tcPr>
            <w:tcW w:w="9854" w:type="dxa"/>
          </w:tcPr>
          <w:p w:rsidR="00DB4822" w:rsidRPr="00DB4822" w:rsidRDefault="00DB4822" w:rsidP="00BA6BAF">
            <w:pPr>
              <w:pStyle w:val="Konzulenseknev"/>
            </w:pPr>
            <w:r w:rsidRPr="00DB4822">
              <w:t>Dr. Király Kornél Péter</w:t>
            </w:r>
          </w:p>
          <w:p w:rsidR="00DB4822" w:rsidRDefault="00DB4822" w:rsidP="00BA6BAF">
            <w:pPr>
              <w:pStyle w:val="Konzulensektitulus"/>
            </w:pPr>
            <w:r w:rsidRPr="00DB4822">
              <w:t>egyetemi docens,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Intrathecalis fenilefrin alfa-1- és -2-mediált antiallodíniás hatást fejt ki neuropátiás patkányokban.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fájdalomcsillapítás; mononeuropátiás fájdalom; gerincvelő; adrenerg rendszer; indirekt hatás</w:t>
      </w:r>
      <w:r>
        <w:t xml:space="preserve"/>
      </w:r>
    </w:p>
    <w:p>
      <w:pPr>
        <w:widowControl w:val="on"/>
        <w:pBdr/>
        <w:spacing w:before="240" w:after="240" w:line="240" w:lineRule="auto"/>
        <w:ind w:left="0" w:right="0"/>
        <w:jc w:val="left"/>
      </w:pPr>
      <w:r>
        <w:rPr>
          <w:color w:val="000000"/>
          <w:sz w:val="24"/>
          <w:szCs w:val="24"/>
        </w:rPr>
        <w:t xml:space="preserve">Introduction: Neuropathic pain (NP) has no hitherto satisfactory treatment.Therefore, there is a clinical need to develop novel drugs or treatment approaches to combat NP. Drugs operating on the spinal cord are of interest to researchers because it is a crucial site involved in both ascending and descending pain transmission. Phenylephrine (PE) is being utilized, among other indications, to solve urgent clinical conditions related to hypotension evoked by anesthesia. It has been considered as a selective α1-adrenoceptor (α1-AR) agonist, however our recent results indicate that it functions as an indirect, non-calcium-dependent cytosolic norepinephrine (NE) releaser. This characteristic has implied its analgesic effect, because spinally released NE is supposed to inhibit pain.</w:t>
      </w:r>
      <w:r>
        <w:rPr>
          <w:color w:val="000000"/>
          <w:sz w:val="24"/>
          <w:szCs w:val="24"/>
        </w:rPr>
        <w:br/>
        <w:t xml:space="preserve">Aim: To assess the action of intrathecal (it.) PE in a rat model of mononeuropathic pain evoked by partial sciatic nerve ligation (pSNL).</w:t>
      </w:r>
      <w:r>
        <w:rPr>
          <w:color w:val="000000"/>
          <w:sz w:val="24"/>
          <w:szCs w:val="24"/>
        </w:rPr>
        <w:br/>
        <w:t xml:space="preserve">Method: Male Wistar rats (130-160g) were used. The pSNL-induced NP procedures and pain measurement were done as described previously (1). The paw withdrawal threshold (PWT) was measured by Dynamic Plantar Aesthesiometer before and after drug treatment. The drugs were purchased from companies with commercial licenses, dissolved in vehicle described by drug suppliers and administered it. in a volume of 5 μL/rat. The experiments conducted in accordance with the guidelines of the Ethical Board of Semmelweis University based on EC Directive 2010/63/EU. One-way or two-way ANOVA, followed by Dunnett's test was used. The level of statistical significance was p&lt; 0.05. n=5-13.</w:t>
      </w:r>
      <w:r>
        <w:rPr>
          <w:color w:val="000000"/>
          <w:sz w:val="24"/>
          <w:szCs w:val="24"/>
        </w:rPr>
        <w:br/>
        <w:t xml:space="preserve">Results: it. PE was tested in the following doses (nmol/rat) 100, 30, 10, and 3. The 30 nmol/rat has shown an antiallodynic effect (PWT: 31.8±2.3) vs vehicle (17.9±1.6) 30 minutes after administration, yet was devoid of discernible side effects. The PWT of sham rats was 42.7±2.2. The effect of 30 nmol PE was blocked by 10 nmol prazosin (21.0±3.0) and idazoxan (23.0±2.7), α1- and α2-AR antagonist, respectively.</w:t>
      </w:r>
      <w:r>
        <w:rPr>
          <w:color w:val="000000"/>
          <w:sz w:val="24"/>
          <w:szCs w:val="24"/>
        </w:rPr>
        <w:br/>
        <w:t xml:space="preserve">Conclusions:The spinal antiallodynic effect of PE under current experimental settings was mediated by α1- and α2-ARs. However, dose titration is necessary for antagonists to decipher the precise mechanism of action. Future studies are required to elucidate the degree of the involvement of AR types and subtypes.</w:t>
      </w:r>
    </w:p>
    <w:p>
      <w:pPr>
        <w:widowControl w:val="on"/>
        <w:pBdr/>
        <w:spacing w:before="240" w:after="240" w:line="240" w:lineRule="auto"/>
        <w:ind w:left="0" w:right="0"/>
        <w:jc w:val="left"/>
      </w:pPr>
      <w:r>
        <w:rPr>
          <w:color w:val="000000"/>
          <w:sz w:val="24"/>
          <w:szCs w:val="24"/>
        </w:rPr>
        <w:t xml:space="preserve">Funding:TKP2021 EGA-25</w:t>
      </w:r>
      <w:r>
        <w:rPr>
          <w:color w:val="000000"/>
          <w:sz w:val="24"/>
          <w:szCs w:val="24"/>
        </w:rPr>
        <w:br/>
        <w:t xml:space="preserve">1. Essmat et al,2023:doi.org/10.3390/ph16081115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08471">
    <w:multiLevelType w:val="hybridMultilevel"/>
    <w:lvl w:ilvl="0" w:tplc="46648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08471">
    <w:abstractNumId w:val="74708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652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