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LEITI LAURA</w:t>
            </w:r>
          </w:p>
          <w:p w:rsidR="00C275A3" w:rsidRDefault="00CA6B74" w:rsidP="00C275A3">
            <w:pPr>
              <w:pStyle w:val="Hallgatokepzes"/>
            </w:pPr>
            <w:r w:rsidRPr="001067CD">
              <w:rPr>
                <w:i/>
              </w:rPr>
              <w:t>laura.leiti@stud.semmelweis.hu</w:t>
            </w:r>
            <w:r w:rsidRPr="001067CD">
              <w:rPr>
                <w:i/>
              </w:rPr>
              <w:br/>
            </w:r>
            <w:r w:rsidR="00A96AEC">
              <w:t>Fogorvosi</w:t>
            </w:r>
            <w:r w:rsidR="00A96AEC">
              <w:br/>
            </w:r>
            <w:r w:rsidR="00E77B23">
              <w:t>Osztatlan, 6. félév</w:t>
            </w:r>
          </w:p>
          <w:p w:rsidR="00C265CE" w:rsidRPr="009E5FF1" w:rsidRDefault="00E77B23" w:rsidP="00BA6BAF">
            <w:pPr>
              <w:pStyle w:val="Hallgatointezmeny-kar"/>
              <w:rPr>
                <w:b/>
                <w:caps/>
              </w:rPr>
            </w:pPr>
            <w:r>
              <w:t>Semmelweis Egyetem</w:t>
            </w:r>
            <w:r w:rsidR="00C275A3">
              <w:br/>
            </w:r>
            <w:r w:rsidR="00DB4822">
              <w:t>Fogorvostudományi Kar</w:t>
            </w:r>
          </w:p>
        </w:tc>
        <w:tc>
          <w:tcPr>
            <w:tcW w:w="4914" w:type="dxa"/>
          </w:tcPr>
          <w:p w:rsidR="00DB4822" w:rsidRPr="00DB4822" w:rsidRDefault="00DB4822" w:rsidP="004D7940">
            <w:pPr>
              <w:pStyle w:val="Hallgatonev"/>
              <w:rPr>
                <w:caps/>
              </w:rPr>
            </w:pPr>
            <w:r w:rsidRPr="00DB4822">
              <w:rPr>
                <w:caps/>
              </w:rPr>
              <w:t>TRAN PHUONG LINH</w:t>
            </w:r>
          </w:p>
          <w:p w:rsidR="00DB4822" w:rsidRDefault="00CA6B74" w:rsidP="004D7940">
            <w:pPr>
              <w:pStyle w:val="Hallgatokepzes"/>
            </w:pPr>
            <w:r w:rsidRPr="001067CD">
              <w:rPr>
                <w:i/>
              </w:rPr>
              <w:t>phuong.tran@stud.semmelweis.hu</w:t>
            </w:r>
            <w:bookmarkStart w:id="1" w:name="_GoBack"/>
            <w:bookmarkEnd w:id="1"/>
            <w:r w:rsidRPr="001067CD">
              <w:br/>
            </w:r>
            <w:r w:rsidR="00C275A3">
              <w:t>Fogorvosi</w:t>
            </w:r>
            <w:r w:rsidR="00A96AEC">
              <w:br/>
              <w:t>Osztatlan, 6. félév</w:t>
            </w:r>
          </w:p>
          <w:p w:rsidR="00DB4822" w:rsidRDefault="00DB4822" w:rsidP="004D7940">
            <w:pPr>
              <w:pStyle w:val="Hallgatointezmeny-kar"/>
            </w:pPr>
            <w:r>
              <w:t>Semmelweis Egyetem</w:t>
            </w:r>
          </w:p>
          <w:p w:rsidR="00C265CE" w:rsidRPr="009E5FF1" w:rsidRDefault="00DB4822" w:rsidP="004D7940">
            <w:pPr>
              <w:pStyle w:val="Hallgatointezmeny-kar"/>
              <w:rPr>
                <w:b/>
                <w:caps/>
              </w:rPr>
            </w:pPr>
            <w:r>
              <w:t>Fogorvostudományi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Viktória Vitai</w:t>
            </w:r>
          </w:p>
          <w:p w:rsidR="00DB4822" w:rsidRDefault="00DB4822" w:rsidP="00BA6BAF">
            <w:pPr>
              <w:pStyle w:val="Konzulensektitulus"/>
            </w:pPr>
            <w:r w:rsidRPr="00DB4822">
              <w:t>assistant lecturer, SE FOK</w:t>
            </w:r>
          </w:p>
        </w:tc>
      </w:tr>
      <w:tr w:rsidR="00DB4822" w:rsidTr="00DB4822">
        <w:tc>
          <w:tcPr>
            <w:tcW w:w="9854" w:type="dxa"/>
          </w:tcPr>
          <w:p w:rsidR="00DB4822" w:rsidRPr="00DB4822" w:rsidRDefault="00DB4822" w:rsidP="00BA6BAF">
            <w:pPr>
              <w:pStyle w:val="Konzulenseknev"/>
            </w:pPr>
            <w:r w:rsidRPr="00DB4822">
              <w:t>Dr. Bálint Vecsei</w:t>
            </w:r>
          </w:p>
          <w:p w:rsidR="00DB4822" w:rsidRDefault="00DB4822" w:rsidP="00BA6BAF">
            <w:pPr>
              <w:pStyle w:val="Konzulensektitulus"/>
            </w:pPr>
            <w:r w:rsidRPr="00DB4822">
              <w:t>senior lecturer, SE FOK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Intraorális szkennerek összehasonlító értékelése: megújult pontosság protokoll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intraoral scanners, accuracy, Neoscan 2000</w:t>
      </w:r>
      <w:r>
        <w:t xml:space="preserve"/>
      </w:r>
    </w:p>
    <w:p>
      <w:pPr>
        <w:widowControl w:val="on"/>
        <w:pBdr/>
        <w:spacing w:before="240" w:after="240" w:line="240" w:lineRule="auto"/>
        <w:ind w:left="0" w:right="0"/>
        <w:jc w:val="left"/>
      </w:pPr>
      <w:r>
        <w:rPr>
          <w:color w:val="000000"/>
          <w:sz w:val="24"/>
          <w:szCs w:val="24"/>
        </w:rPr>
        <w:t xml:space="preserve">Introduction: The Digital Dentistry Group of the Department of Prosthodontics has been working on the uniform rating system of intraoral scanners based on objective parameters since 2018. The test protocol was renewed in 2023 as studies show different intraoral scanners should be used according to indications, and more models for different clinical scenarios are needed to assess scanner performance accurately.</w:t>
      </w:r>
    </w:p>
    <w:p>
      <w:pPr>
        <w:widowControl w:val="on"/>
        <w:pBdr/>
        <w:spacing w:before="240" w:after="240" w:line="240" w:lineRule="auto"/>
        <w:ind w:left="0" w:right="0"/>
        <w:jc w:val="left"/>
      </w:pPr>
      <w:r>
        <w:rPr>
          <w:color w:val="000000"/>
          <w:sz w:val="24"/>
          <w:szCs w:val="24"/>
        </w:rPr>
        <w:t xml:space="preserve">Objective: This study aims to introduce a new protocol for the accuracy evaluation of intraoral scanners using accuracy data from Neoscan 2000.</w:t>
      </w:r>
    </w:p>
    <w:p>
      <w:pPr>
        <w:widowControl w:val="on"/>
        <w:pBdr/>
        <w:spacing w:before="240" w:after="240" w:line="240" w:lineRule="auto"/>
        <w:ind w:left="0" w:right="0"/>
        <w:jc w:val="left"/>
      </w:pPr>
      <w:r>
        <w:rPr>
          <w:color w:val="000000"/>
          <w:sz w:val="24"/>
          <w:szCs w:val="24"/>
        </w:rPr>
        <w:t xml:space="preserve">Material and method: The study includes 7 PMMA models scanned to test the accuracy of the intraoral scanners for all possible indications. These models include a study model, a model with crowded dentition, a prepared dentition model, a quadrant model, and three models containing Straumann implant analogs. The implant models include a maxilla with 6 implant analogs, a mandible with 4 analogs, and a maxilla with 3 implant analogs demonstrating a bridge case. These models represent the clinical indications of treatment planning, chairside dentistry, orthodontics, prosthodontics, and implantology. 3 dental students test the study model, each scanning 10 times. The remaining 6 models are scanned by one dental practitioner experienced in scanning, 10 times per model type.The accuracy of the digitalized models, composed of precision and trueness, is compared to that of a reference STL file scanned using a laboratory scanner. The STL files created by model scanning are imported into Geomagic Control X software and compared to the reference STL files to measure accuracy. The whole arch deviation, which shows the average deviation of the entire dental arch and distance measurements, was analyzed.</w:t>
      </w:r>
    </w:p>
    <w:p>
      <w:pPr>
        <w:widowControl w:val="on"/>
        <w:pBdr/>
        <w:spacing w:before="240" w:after="240" w:line="240" w:lineRule="auto"/>
        <w:ind w:left="0" w:right="0"/>
        <w:jc w:val="left"/>
      </w:pPr>
      <w:r>
        <w:rPr>
          <w:color w:val="000000"/>
          <w:sz w:val="24"/>
          <w:szCs w:val="24"/>
        </w:rPr>
        <w:t xml:space="preserve">Results: Whole arch deviation trueness and precision on models were – study model: 42,10 ±5,46 µm, crowded model: 51,80 ±7,49 µm, a prepared model: 117 ±27,05 µm, all-on-4 model: 260,30 ±43,28 µm, all-on-6 model: 249,9 ±58,28 µm.</w:t>
      </w:r>
    </w:p>
    <w:p>
      <w:pPr>
        <w:widowControl w:val="on"/>
        <w:pBdr/>
        <w:spacing w:before="240" w:after="240" w:line="240" w:lineRule="auto"/>
        <w:ind w:left="0" w:right="0"/>
        <w:jc w:val="left"/>
      </w:pPr>
      <w:r>
        <w:rPr>
          <w:color w:val="000000"/>
          <w:sz w:val="24"/>
          <w:szCs w:val="24"/>
        </w:rPr>
        <w:t xml:space="preserve">Conclusions: The new protocol can better demonstrate the accuracy of the intraoral scanners for different indications. Neoscan 2000 indications for use are treatment planning, orthodontics, chairside, and prosthodontics. It is not recommended for implantology use.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634362">
    <w:multiLevelType w:val="hybridMultilevel"/>
    <w:lvl w:ilvl="0" w:tplc="639255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634362">
    <w:abstractNumId w:val="306343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35902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