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SHAHSAVARI TINA</w:t>
            </w:r>
          </w:p>
          <w:p w:rsidR="00C275A3" w:rsidRDefault="00CA6B74" w:rsidP="00C275A3">
            <w:pPr>
              <w:pStyle w:val="Hallgatokepzes"/>
            </w:pPr>
            <w:r w:rsidRPr="001067CD">
              <w:rPr>
                <w:i/>
              </w:rPr>
              <w:t>tinashahsavari@gmail.com</w:t>
            </w:r>
            <w:r w:rsidRPr="001067CD">
              <w:rPr>
                <w:i/>
              </w:rPr>
              <w:br/>
            </w:r>
            <w:r w:rsidR="00A96AEC">
              <w:t>Student</w:t>
            </w:r>
            <w:r w:rsidR="00A96AEC">
              <w:br/>
            </w:r>
            <w:r w:rsidR="00E77B23">
              <w:t>Osztatlan, 10. félév</w:t>
            </w:r>
          </w:p>
          <w:p w:rsidR="00C265CE" w:rsidRPr="009E5FF1" w:rsidRDefault="00E77B23" w:rsidP="00BA6BAF">
            <w:pPr>
              <w:pStyle w:val="Hallgatointezmeny-kar"/>
              <w:rPr>
                <w:b/>
                <w:caps/>
              </w:rPr>
            </w:pPr>
            <w:r>
              <w:t>Semmelweis Egyetem</w:t>
            </w:r>
            <w:r w:rsidR="00C275A3">
              <w:br/>
            </w:r>
            <w:r w:rsidR="00DB4822">
              <w:t>Fogorvostudományi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Borbola Dániel</w:t>
            </w:r>
          </w:p>
          <w:p w:rsidR="00DB4822" w:rsidRDefault="00DB4822" w:rsidP="00BA6BAF">
            <w:pPr>
              <w:pStyle w:val="Konzulensektitulus"/>
            </w:pPr>
            <w:r w:rsidRPr="00DB4822">
              <w:t>PhD student, SE FOK</w:t>
            </w:r>
          </w:p>
        </w:tc>
      </w:tr>
      <w:tr w:rsidR="00DB4822" w:rsidTr="00DB4822">
        <w:tc>
          <w:tcPr>
            <w:tcW w:w="9854" w:type="dxa"/>
          </w:tcPr>
          <w:p w:rsidR="00DB4822" w:rsidRPr="00DB4822" w:rsidRDefault="00DB4822" w:rsidP="00BA6BAF">
            <w:pPr>
              <w:pStyle w:val="Konzulenseknev"/>
            </w:pPr>
            <w:r w:rsidRPr="00DB4822">
              <w:t>Vág János</w:t>
            </w:r>
          </w:p>
          <w:p w:rsidR="00DB4822" w:rsidRDefault="00DB4822" w:rsidP="00BA6BAF">
            <w:pPr>
              <w:pStyle w:val="Konzulensektitulus"/>
            </w:pPr>
            <w:r w:rsidRPr="00DB4822">
              <w:t>professor, SE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teljes fogív pontosságának vizsgálata hét különböző intraorális szkenner esetében.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intraorális szkenner, pontosság,</w:t>
      </w:r>
      <w:r>
        <w:t xml:space="preserve"/>
      </w:r>
    </w:p>
    <w:p>
      <w:pPr>
        <w:widowControl w:val="on"/>
        <w:pBdr/>
        <w:spacing w:before="240" w:after="240" w:line="240" w:lineRule="auto"/>
        <w:ind w:left="0" w:right="0"/>
        <w:jc w:val="left"/>
      </w:pPr>
      <w:r>
        <w:rPr>
          <w:color w:val="000000"/>
          <w:sz w:val="24"/>
          <w:szCs w:val="24"/>
        </w:rPr>
        <w:t xml:space="preserve">Introduction: The rapid evolution of digital dentistry software and hardware presents a challenge for clinicians when selecting the most accurate intraoral scanner (IOS). The accuracy of intraoral scanners could be measured and compared using their performance in reproducing the fit of the designed restoration. The acceptable marginal fit for restorations is less than 120 μm, and IOS inaccuracy should be under 100 μm to allow for acceptable marginal gaps after fabrication.</w:t>
      </w:r>
      <w:r>
        <w:rPr>
          <w:color w:val="000000"/>
          <w:sz w:val="24"/>
          <w:szCs w:val="24"/>
        </w:rPr>
        <w:br/>
        <w:t xml:space="preserve">Aim: This study aimed to compare the complete-arch accuracy of seven intraoral scanners using a 70 μm cement space set by the virtual-fit method.</w:t>
      </w:r>
    </w:p>
    <w:p>
      <w:pPr>
        <w:widowControl w:val="on"/>
        <w:pBdr/>
        <w:spacing w:before="240" w:after="240" w:line="240" w:lineRule="auto"/>
        <w:ind w:left="0" w:right="0"/>
        <w:jc w:val="left"/>
      </w:pPr>
      <w:r>
        <w:rPr>
          <w:color w:val="000000"/>
          <w:sz w:val="24"/>
          <w:szCs w:val="24"/>
        </w:rPr>
        <w:t xml:space="preserve">Method: 3D-printed models of prepared maxillary arches were scanned by an industrial reference scanner (ATOS Q) to produce reference scans. The models were also scanned by seven IOSs: Shining3D Aoralscan3, Planmeca EmeraldS, Eighteeth Helios600, iTero Lumina, Medit i700, Dentsply Sirona Primescan, and 3Shape Trios5, three times each. A complete-arch fixed prosthesis framework with ce- ment spacing of 70 μm was designed on each scan and later segmented using Exocad software (n=84). For the alignment with reference scans, the virtual-fit method was implemented. The mean absolute distance between the surfaces was measured in the marginal area to estimate the marginal gap and is given in the median (first – fourth quartiles) for each IOS. The median gaps of IOSs were compared statistically by the Kruskall-Wallis test.</w:t>
      </w:r>
    </w:p>
    <w:p>
      <w:pPr>
        <w:widowControl w:val="on"/>
        <w:pBdr/>
        <w:spacing w:before="240" w:after="240" w:line="240" w:lineRule="auto"/>
        <w:ind w:left="0" w:right="0"/>
        <w:jc w:val="left"/>
      </w:pPr>
      <w:r>
        <w:rPr>
          <w:color w:val="000000"/>
          <w:sz w:val="24"/>
          <w:szCs w:val="24"/>
        </w:rPr>
        <w:t xml:space="preserve">Results: The seven IOSs were grouped into three based on the statistical differences. The lowest marginal gaps were measured for Medit i700 (43 (37-46) μm), for Primescan (42 (30-57) μm), and for EmeraldS (45 (41-57) μm). They were not significantly different from each other. The second group comprised the Aoralscan3 (70 (50-163) μm), Lumina (67 (53-103) μm), and Trios5 (70 (61-79) μm). The marginal gap was significantly (p&lt;0.05) larger in the second than in the first group. The marginal gap for Helios600 (118 (97-140)μm) was significantly larger than the value of the other two groups.</w:t>
      </w:r>
    </w:p>
    <w:p>
      <w:pPr>
        <w:widowControl w:val="on"/>
        <w:pBdr/>
        <w:spacing w:before="240" w:after="240" w:line="240" w:lineRule="auto"/>
        <w:ind w:left="0" w:right="0"/>
        <w:jc w:val="left"/>
      </w:pPr>
      <w:r>
        <w:rPr>
          <w:color w:val="000000"/>
          <w:sz w:val="24"/>
          <w:szCs w:val="24"/>
        </w:rPr>
        <w:t xml:space="preserve">Conclusions: The EmeraldS, Medit i700, Primescan, and Trios5 meet the marginal criteria for fixed complete-arch restorations since they have an accuracy of less than 100 μm. However, an additional cement space during design can improve the restoration fit.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83117">
    <w:multiLevelType w:val="hybridMultilevel"/>
    <w:lvl w:ilvl="0" w:tplc="738008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83117">
    <w:abstractNumId w:val="115831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70763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