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FEDORCSÁK 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dorafedorcsak@gmail.com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Miheller Pál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 Sebészeti, Transzplantációs és Gasztroenterológiai Klinika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Menyhárt Orsolya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 Sebészeti, Transzplantációs és Gasztroenterológiai Klinika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Biológiai szerek szérumszintje és a testösszetétel összefüggései gyulladásos bélbetegségben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gyulladásos bélbetegség, biológiai terápia, testösszetétel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gyulladásos bélbetegségben (IBD) alkalmazott biológiai készítményeket, egy készítmény esetén testsúlyhoz (Ts) kötött, a többi gyógyszert egyforma dózisban alkalmazzuk. Reumatológiai beteganyagban kimutatták, hogy az egyforma dózisban alkalmazott adalimumab (ADA) esetében a hatásvesztés a nagyobb tömegű betegekben hamarabb bekövetkezik.</w:t>
      </w:r>
      <w:r>
        <w:rPr>
          <w:color w:val="000000"/>
          <w:sz w:val="24"/>
          <w:szCs w:val="24"/>
        </w:rPr>
        <w:br/>
        <w:t xml:space="preserve">Célkitűzés: Vizsgálatunk célja az volt, hogy összevessük az infliximab (IFX), ADA, vénásan (ivVDZ) és subcutan (scVDZ) alkalmazott vedolizumab, az ustekinumab (UST) szérumszintjei és a testösszetétel paraméterek közötti összefüggést klinikai remisszióban lévő IBD betegekben, illetve antitestképződés esetén a további klinikai lefolyást vizsgáljuk.</w:t>
      </w:r>
      <w:r>
        <w:rPr>
          <w:color w:val="000000"/>
          <w:sz w:val="24"/>
          <w:szCs w:val="24"/>
        </w:rPr>
        <w:br/>
        <w:t xml:space="preserve">Betegek, módszerek: A vizsgálatba 42 Crohn-beteget (CD) és 25 colitis ukcerosas (UC) beteget vontunk be. Átlagéletkoruk 41.72±13.01 év, átlagos betegségtartamuk 13.64±9.43 év volt. A testösszetétel paramétereket bioimpedancia (BIA) vizsgálattal, a szérumszinteket és a gyógyszer ellenes antitestet (ADAb) ELISA-val mértük. Az összefüggéseket Spearman-féle korreláció analízissel vizsgáltuk.</w:t>
      </w:r>
      <w:r>
        <w:rPr>
          <w:color w:val="000000"/>
          <w:sz w:val="24"/>
          <w:szCs w:val="24"/>
        </w:rPr>
        <w:br/>
        <w:t xml:space="preserve">Eredmények: A klinikai aktivitási indexek alapján minden beteg klinikai remisszióban volt a vizsgálat időpontjában. A 67 kezelt betegből ADAb volt kimutatható rendre a következő arányokban: IFX: 8/19 (47.36%), ADA: n=2/12 (16.6%); ivVDZ: n=4/17 (23.52%); scVDZ: n=4/5, és UST: n=3/15 (20%). Az adatelemzésből az antitesttel rendelkező betegeket kizártuk. Ezt követően az ADAb negatív betegekben nem találtunk összefüggést egyik testösszetétel paraméter (testtömeg index, zsírmentes testtömeg, zsírmentes testtömeg index, testfelszín) és a mért szérumszintek között. Klinikai relapszust észleltünk 3 hónapon belül az ADAb pozitív esetében a következő arányban: IFX: 4/9, ADA: 2/2, ivVDZ: 2/4, scVDZ: 0/4, UST: 3/3.</w:t>
      </w:r>
      <w:r>
        <w:rPr>
          <w:color w:val="000000"/>
          <w:sz w:val="24"/>
          <w:szCs w:val="24"/>
        </w:rPr>
        <w:br/>
        <w:t xml:space="preserve">Következtetések:</w:t>
      </w:r>
      <w:r>
        <w:rPr>
          <w:color w:val="000000"/>
          <w:sz w:val="24"/>
          <w:szCs w:val="24"/>
        </w:rPr>
        <w:br/>
        <w:t xml:space="preserve">A vizsgált biológiai szerek szérum szintje nem függ a betegek testösszetételétől azon szerek esetében sem, ahol a testsúlytól függetlenül, egyforma dózisban alkalmazzuk a készítményeket.</w:t>
      </w:r>
      <w:r>
        <w:rPr>
          <w:color w:val="000000"/>
          <w:sz w:val="24"/>
          <w:szCs w:val="24"/>
        </w:rPr>
        <w:br/>
        <w:t xml:space="preserve">A biológiai kezelés mellett ADA pozitív, de remisszióban lévő IBD-s betegek esetében a klinikai relapszussal számolnunk kell, ezekben az esetekben nem klinikai, hanem objektív paramétereken alapuló szoros követés szükséges, szükség esetén terápia váltás.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449286">
    <w:multiLevelType w:val="hybridMultilevel"/>
    <w:lvl w:ilvl="0" w:tplc="546848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449286">
    <w:abstractNumId w:val="324492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90773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