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KÁRPÁTI JÚLIA MARIANNA</w:t>
            </w:r>
          </w:p>
          <w:p w:rsidR="00C275A3" w:rsidRDefault="00CA6B74" w:rsidP="00C275A3">
            <w:pPr>
              <w:pStyle w:val="Hallgatokepzes"/>
            </w:pPr>
            <w:r w:rsidRPr="001067CD">
              <w:rPr>
                <w:i/>
              </w:rPr>
              <w:t>karpati.julia02@stud.semmelweis.hu</w:t>
            </w:r>
            <w:r w:rsidRPr="001067CD">
              <w:rPr>
                <w:i/>
              </w:rPr>
              <w:br/>
            </w:r>
            <w:r w:rsidR="00A96AEC">
              <w:t>általános orvos</w:t>
            </w:r>
            <w:r w:rsidR="00A96AEC">
              <w:br/>
            </w:r>
            <w:r w:rsidR="00E77B23">
              <w:t>Osztatlan, 8.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Kiss Richárd</w:t>
            </w:r>
          </w:p>
          <w:p w:rsidR="00DB4822" w:rsidRDefault="00DB4822" w:rsidP="00BA6BAF">
            <w:pPr>
              <w:pStyle w:val="Konzulensektitulus"/>
            </w:pPr>
            <w:r w:rsidRPr="00DB4822">
              <w:t>egyetemi tanársegéd,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Gyermekkori lágyrész sarcomák terápiásan célozható molekuláris genetikai eltéréseinek feltérképezése komprehenzív genomikus profilozással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Heterogenitás; TSO500 profil; szekvenálás; precíziós medicina; patogén mutáció</w:t>
      </w:r>
      <w:r>
        <w:t xml:space="preserve"/>
      </w:r>
    </w:p>
    <w:p>
      <w:pPr>
        <w:widowControl w:val="on"/>
        <w:pBdr/>
        <w:spacing w:before="240" w:after="240" w:line="240" w:lineRule="auto"/>
        <w:ind w:left="0" w:right="0"/>
        <w:jc w:val="left"/>
      </w:pPr>
      <w:r>
        <w:rPr>
          <w:color w:val="000000"/>
          <w:sz w:val="24"/>
          <w:szCs w:val="24"/>
        </w:rPr>
        <w:t xml:space="preserve">Bevezetés:</w:t>
      </w:r>
    </w:p>
    <w:p>
      <w:pPr>
        <w:widowControl w:val="on"/>
        <w:pBdr/>
        <w:spacing w:before="240" w:after="240" w:line="240" w:lineRule="auto"/>
        <w:ind w:left="0" w:right="0"/>
        <w:jc w:val="left"/>
      </w:pPr>
      <w:r>
        <w:rPr>
          <w:color w:val="000000"/>
          <w:sz w:val="24"/>
          <w:szCs w:val="24"/>
        </w:rPr>
        <w:t xml:space="preserve">A gyermekkori lágyrész sarcomák ritka tumorok, Magyarországon évente körülbelül 50 beteget diagnosztizálnak. Az esetek 50%-a rhabdomyosarcoma (RMS), melyen belül is genetikai háttér alapján drasztikusan eltérő prognózissal bíró formákat különítünk el. A fennmaradó 50% pedig számos ritka, nehezen diagnosztizálható sarcoma típust takar. Ezen betegségcsoport heterogenitása és az alacsony esetszám miatt nem állnak rendelkezésre modern kezelési protokollok, és a célozható genetikai eltérések gyakoriságáról is csak limitált információk állnak rendelkezésre. Célunk volt gyermekkori lágyrész sarcomák genetikai eltéréseinek feltérképezése komprehenzív genomikus profilozással, terápiásan célozható eltérések azonosítása, valamint ezen eredmények hasznosulásának retrospektív vizsgálata.</w:t>
      </w:r>
    </w:p>
    <w:p>
      <w:pPr>
        <w:widowControl w:val="on"/>
        <w:pBdr/>
        <w:spacing w:before="240" w:after="240" w:line="240" w:lineRule="auto"/>
        <w:ind w:left="0" w:right="0"/>
        <w:jc w:val="left"/>
      </w:pPr>
      <w:r>
        <w:rPr>
          <w:color w:val="000000"/>
          <w:sz w:val="24"/>
          <w:szCs w:val="24"/>
        </w:rPr>
        <w:t xml:space="preserve">Módszer:</w:t>
      </w:r>
    </w:p>
    <w:p>
      <w:pPr>
        <w:widowControl w:val="on"/>
        <w:pBdr/>
        <w:spacing w:before="240" w:after="240" w:line="240" w:lineRule="auto"/>
        <w:ind w:left="0" w:right="0"/>
        <w:jc w:val="left"/>
      </w:pPr>
      <w:r>
        <w:rPr>
          <w:color w:val="000000"/>
          <w:sz w:val="24"/>
          <w:szCs w:val="24"/>
        </w:rPr>
        <w:t xml:space="preserve">A kutatás során 38 sarcomás gyermek, 39 db formalin fixált, paraffinba ágyazott daganat mintájából izolált DNS- és RNS új generációs szekvenálását végeztük TSO500 panellel, Illumina NextSeq2000 platformon. Az eredményeket a Clinical Insight, Qiagen és PierianDx rendszerekkel elemeztük.</w:t>
      </w:r>
    </w:p>
    <w:p>
      <w:pPr>
        <w:widowControl w:val="on"/>
        <w:pBdr/>
        <w:spacing w:before="240" w:after="240" w:line="240" w:lineRule="auto"/>
        <w:ind w:left="0" w:right="0"/>
        <w:jc w:val="left"/>
      </w:pPr>
      <w:r>
        <w:rPr>
          <w:color w:val="000000"/>
          <w:sz w:val="24"/>
          <w:szCs w:val="24"/>
        </w:rPr>
        <w:t xml:space="preserve">Eredmények:</w:t>
      </w:r>
    </w:p>
    <w:p>
      <w:pPr>
        <w:widowControl w:val="on"/>
        <w:pBdr/>
        <w:spacing w:before="240" w:after="240" w:line="240" w:lineRule="auto"/>
        <w:ind w:left="0" w:right="0"/>
        <w:jc w:val="left"/>
      </w:pPr>
      <w:r>
        <w:rPr>
          <w:color w:val="000000"/>
          <w:sz w:val="24"/>
          <w:szCs w:val="24"/>
        </w:rPr>
        <w:t xml:space="preserve">Az összesen 39 db daganat többsége (12 db) RMS volt. Ezt követte az inflammatórikus myofibroblastos tumor (4 eset) és a synovialis sarcoma (4 eset). A fennmaradó 19 eset 18 különböző entitást takar. Az esetek 76,9%-ában (39/30) azonosítottunk patogén genetikai eltérést, melyből gyermekenként átlagosan 2,6 mutációt detektáltunk. A leggyakoribb eltérés az amplifikáció volt (49), de ezen kívül gyakorisági sorrendben találtunk fúziót (16), pont mutációt (10), deléciót (3) és duplikációt (1). A célozható genetikai eltérések 73,4%-a Tier 2C, 11,4%-a 1A, 6,3%-a Tier 3 és egy eltérés Tier 2D besorolású volt. A klinikumban ezen 30 gyermek közül, akiknek javasolható volt célzott terápia, 7 beteg kapta meg a kezelést. A megcélzott eltérésekből 6 db Tier 1A, 1 db pedig Tier 2C besorolású volt.</w:t>
      </w:r>
    </w:p>
    <w:p>
      <w:pPr>
        <w:widowControl w:val="on"/>
        <w:pBdr/>
        <w:spacing w:before="240" w:after="240" w:line="240" w:lineRule="auto"/>
        <w:ind w:left="0" w:right="0"/>
        <w:jc w:val="left"/>
      </w:pPr>
      <w:r>
        <w:rPr>
          <w:color w:val="000000"/>
          <w:sz w:val="24"/>
          <w:szCs w:val="24"/>
        </w:rPr>
        <w:t xml:space="preserve">Megbeszélés:</w:t>
      </w:r>
    </w:p>
    <w:p>
      <w:pPr>
        <w:widowControl w:val="on"/>
        <w:pBdr/>
        <w:spacing w:before="240" w:after="240" w:line="240" w:lineRule="auto"/>
        <w:ind w:left="0" w:right="0"/>
        <w:jc w:val="left"/>
      </w:pPr>
      <w:r>
        <w:rPr>
          <w:color w:val="000000"/>
          <w:sz w:val="24"/>
          <w:szCs w:val="24"/>
        </w:rPr>
        <w:t xml:space="preserve">Gyermekkori lágyrész sarcomák többségében azonosíthatók terápiásan célozható genetikai eltérések és gyakorta detektálhatók olyan, egyébként igen ritkán előforduló, agnosztikus markerek is, mint az NTRK fúziók. Ezen eredmények hasznosulása azonban a teljes klinikai kontextustól függ, ugyanakkor már ma is a terápiás stratifikáció fontos részét képezik.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61258">
    <w:multiLevelType w:val="hybridMultilevel"/>
    <w:lvl w:ilvl="0" w:tplc="26954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61258">
    <w:abstractNumId w:val="58261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3628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