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CSABA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hcsababence@gmail.com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Kosztin Annamária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Merkel Eperke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bal kamrai elektróda-pozíció hatása a klinikai kimenetelre a CRT upgrade-en átesett betegekben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CRT Upgrade; bal kamrai elektróda-pozíció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de novo kardiális reszinkronizációs terápia (CRT) esetén a bal kamrai (LV) elektróda pozíciója befolyásolja a betegek hosszútávú kimenetelét, a későbbi szívelégtelenség hospitalizáció előfordulását és a mortalitást. Mindez kevésbé ismert a CRT upgrade-re kerülő betegek esetében.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</w:t>
      </w:r>
      <w:r>
        <w:rPr>
          <w:color w:val="000000"/>
          <w:sz w:val="24"/>
          <w:szCs w:val="24"/>
        </w:rPr>
        <w:br/>
        <w:t xml:space="preserve">Az LV elektróda rövid tengelyű pozíciójának hatása az elsődleges végpontra és az echokardiográfiás válaszkészségre a BUDAPEST CRT Upgrade betegcsoportban.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</w:t>
      </w:r>
      <w:r>
        <w:rPr>
          <w:color w:val="000000"/>
          <w:sz w:val="24"/>
          <w:szCs w:val="24"/>
        </w:rPr>
        <w:br/>
        <w:t xml:space="preserve">Olyan csökkent ejekciós frakciójú szívelégtelen (HFrEF) betegeket vizsgáltunk, akik pacemakerrel (PM) vagy beültethető kardioverter defibrillátorral (ICD) és ≥20% jobb kamrai (RV) ingerlési aránnyal rendelkeztek. A CRT-D ágra randomizált betegeket (n=215) és az ICD ágról LV elektróda implantáció miatt átsorolt betegeket (n=27) vontuk be. A LV elektróda pozíciót rögzítettük (anterior, laterális, posterior). A 12 hónapos követés során primer végpont a szívelégtelenség miatti hospitalizáció, összhalálozás, valamint a bal kamrai végszisztolés térfogatnak(LVESV) kevesebb, mint 15%-os relatív csökkenése volt. Az echokardiográfiás választ az LVESV és a bal kamrai ejekciós frakció(LVEF) változásával mértük.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Az LV elektróda pozíciója 223 beteg (89%) esetében volt elérhető, a medián követési idő 12 hónap volt. Elektróda pozíció alapján nem volt különbség az elsődleges kimenetelben (anterior vs. laterális OR 0,31; 95%CI 0,08–1,20;p=0,09, anterior vs. posterior OR 0,80;95%CI 0,18–3,62;p=0,77).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laterális LV elektróda pozíció esetén az LVEF és LVESV változása jelentősebb volt az anterior vagy hátsó pozícióhoz képest [illesztett LVEF-különbség laterális vs. anterior 7,43%;95%CI 1,25–13,62;p=0,02; laterális vs. posterior 4,46%;95%CI 0,78–8,15;p=0,02); laterális vs. anterior illesztett LVESV-különbség: -0,17 ml,95%CI -0,32–(-0,01);p=0,03,posterior vs. anterior: -0,09 ml,95%CI -0,26–0,08;p=0,31, posterior vs. laterális: -0,08 ml,95%CI -0,17–0,01;p=0,10]. A posterior LV elektróda pozíció nem mutatott különbséget az anteriortól az LVEF változás tekintetében (illesztett LVEF-különbség 3,00%;95%CI -3,92–9,93;p=0,39).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</w:t>
      </w:r>
      <w:r>
        <w:rPr>
          <w:color w:val="000000"/>
          <w:sz w:val="24"/>
          <w:szCs w:val="24"/>
        </w:rPr>
        <w:br/>
        <w:t xml:space="preserve">A CRT upgrade az LV elektróda pozíciójától függetlenül kedvezőbb kimenetellel jár, mint az ICD upgrade a primer végpont vonatkozásában. Emellett a laterális LV elektróda-pozíció esetén szignifikánsabb jobb echokardiográfiás válaszkészséget találtunk a többi pozícióhoz képest. Vizsgálatunk elsőként erősítette meg, hogy a CRT upgrade során a lateralis pozíció preferálandó.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315898">
    <w:multiLevelType w:val="hybridMultilevel"/>
    <w:lvl w:ilvl="0" w:tplc="581738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315898">
    <w:abstractNumId w:val="673158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55115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