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esztipal2@gmail.com</w:t>
            </w:r>
            <w:r w:rsidRPr="001067CD">
              <w:rPr>
                <w:i/>
              </w:rPr>
              <w:br/>
            </w:r>
            <w:r w:rsidR="00A96AEC">
              <w:t>Általános Orvostudomány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PÁRKÁNYI VERONIKA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parkanyironi@gmail.com</w:t>
            </w:r>
            <w:bookmarkStart w:id="1" w:name="_GoBack"/>
            <w:bookmarkEnd w:id="1"/>
            <w:r w:rsidRPr="001067CD">
              <w:br/>
            </w:r>
            <w:r w:rsidR="00C275A3">
              <w:t>Általános Orvostudomány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Ladányi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Lakatos Bálint Károly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Nyomás alatt: A miokardiális munka és az aortabillentyű sztenózis stádiumainak prognosztikus értéke transzkatéteres aortabillentyű cserén átesett betegekben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Aortabillentyű sztenózis; Nyomásterhelés; Miokardiális munka; Aortabillentyű sztenózis stádiumbeosztása; Transzkatéteres aortabillentyű implantáció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bal kamrai (BK) szisztolés funkció hagyományos paramétereit jelentősen befolyásolja az utóterhelés, mely különösen releváns probléma aorta sztenózisban (AS). Ebben segít a miokardiális munka analízis, ami a szívizomzat deformációját a pillanatnyi BK nyomásra fajlagosítva vizsgálja. A krónikus BK nyomásterhelés visszaható változásokat okoz a BK-n túl is; az extravalvuláris kórjeleknek a stádiumokra osztása jól jellemzi a kardiopulmonális rendszer károsodását AS-ban.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miokardiális munka analízis és az AS stádiumbeosztás prognosztikus értékét vizsgáltuk transzkatéteres aortabillentyű implantáción (TAVI) átesőbetegekben.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314 beteget vontunk be (79±6 év, 40% nő). Echocardiográfiával meghatároztuk a BK ejekciósfrakciót (EF) és a globális longitudinalis straint (GLS). A BK nyomást a szisztolés vérnyomásból és a transzaortikus átlaggradiensből becsültük, a globális konstruktív munkát (GCW) dedikált szoftverrel határoztuk meg. Az AS-sal összefüggő extravalvuláris károsodás kiterjedését az alábbi stádiumokba soroltuk: 0. nincsen, 1. BK, 2. mitrális billentyű/bal pitvari, 3.tüdőartériás rendszer/tricuspidalis billentyű, 4. jobb kamrai károsodás. A primer végpont az összmortalitásvolt, mely 69 betegnél következett be a medián 25 hónapos utánkövetés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TAVI előtt az EF 47±13%, GLS -12,3±4,2%, GCW 2043±769Hgmm% volt. 14 (5%) beteget soroltunk a 0, 61-et (20%) az 1, 133-at (43%) a 2, 22-t (7%) a 3, és 74-et (25%) a 4 stádiumba. A GCW az AS stádiumokkal fokozatosan csökkent (0-4 stádium: 2963±652 vs2154±621 vs 2174±706 vs 2044±827 vs1553±757Hgmm%; p&lt;0,001). Univariáns Cox-analízis alapján a GCW (HR 0,968 [95% CI 0,938-0,998] 100 egységenként; p=0,034) és az AS stádiumok (HR 1,236[95% CI 1,016-1,505]; p=0,034) összefüggést mutattakaz összmortalitással, míg az EF (HR 0,982 [95% CI 0,964-1,001]; p=NS) és a GLS (HR 1,047 [95% CI0,989-1,108]; p=NS) nem. Multivariáns Cox-regressziós modellekben mind a GCW (HR 0,958 [95% CI 0,923-0,994] 100 egységenként; p=0,022), mind az AS stádiumok (HR 1,281 [95% CI 1,040-1,577]; p=0,020) független prediktorai voltak az összmortalitásnak.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TAVI-s betegekben a preoperatív GCW jelentősen csökken az extravalvuláris károsodással párhuzamosan. A GCW és az AS stádiumai az összmortalitás független prediktorai voltak, meghaladva más echocardiográfiás paraméterek prognosztikus értékét.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195937">
    <w:multiLevelType w:val="hybridMultilevel"/>
    <w:lvl w:ilvl="0" w:tplc="819673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195937">
    <w:abstractNumId w:val="281959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28772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