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 RÓBERT</w:t>
            </w:r>
          </w:p>
          <w:p w:rsidR="00C275A3" w:rsidRDefault="00CA6B74" w:rsidP="00C275A3">
            <w:pPr>
              <w:pStyle w:val="Hallgatokepzes"/>
            </w:pPr>
            <w:r w:rsidRPr="001067CD">
              <w:rPr>
                <w:i/>
              </w:rPr>
              <w:t>robert.gal228@gmail.com</w:t>
            </w:r>
            <w:r w:rsidRPr="001067CD">
              <w:rPr>
                <w:i/>
              </w:rPr>
              <w:br/>
            </w:r>
            <w:r w:rsidR="00A96AEC">
              <w:t>Orvos</w:t>
            </w:r>
            <w:r w:rsidR="00A96AEC">
              <w:br/>
            </w:r>
            <w:r w:rsidR="00E77B23">
              <w:t>Osztatlan, 12.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Piróth Zsolt PhD</w:t>
            </w:r>
          </w:p>
          <w:p w:rsidR="00DB4822" w:rsidRDefault="00DB4822" w:rsidP="00BA6BAF">
            <w:pPr>
              <w:pStyle w:val="Konzulensektitulus"/>
            </w:pPr>
            <w:r w:rsidRPr="00DB4822">
              <w:t>Osztályvezető főorvos,  Gottsegen György Országos Kardiovaszkuláris Intézet</w:t>
            </w:r>
          </w:p>
        </w:tc>
      </w:tr>
      <w:tr w:rsidR="00DB4822" w:rsidTr="00DB4822">
        <w:tc>
          <w:tcPr>
            <w:tcW w:w="9854" w:type="dxa"/>
          </w:tcPr>
          <w:p w:rsidR="00DB4822" w:rsidRPr="00DB4822" w:rsidRDefault="00DB4822" w:rsidP="00BA6BAF">
            <w:pPr>
              <w:pStyle w:val="Konzulenseknev"/>
            </w:pPr>
            <w:r w:rsidRPr="00DB4822">
              <w:t>Dr. Csanádi Bettina</w:t>
            </w:r>
          </w:p>
          <w:p w:rsidR="00DB4822" w:rsidRDefault="00DB4822" w:rsidP="00BA6BAF">
            <w:pPr>
              <w:pStyle w:val="Konzulensektitulus"/>
            </w:pPr>
            <w:r w:rsidRPr="00DB4822">
              <w:t>PhD hallgató,  Gottsegen György Országos Kardiovaszkuláris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FFR és QFR összehasonlítása: a koszorúér-szűkületek funkcionális értékelésének új perspektívái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FFR; QFR; coronarographia; korreláció</w:t>
      </w:r>
      <w:r>
        <w:t xml:space="preserve"/>
      </w:r>
    </w:p>
    <w:p>
      <w:pPr>
        <w:widowControl w:val="on"/>
        <w:pBdr/>
        <w:spacing w:before="240" w:after="240" w:line="240" w:lineRule="auto"/>
        <w:ind w:left="0" w:right="0"/>
        <w:jc w:val="left"/>
      </w:pPr>
      <w:r>
        <w:rPr>
          <w:color w:val="000000"/>
          <w:sz w:val="24"/>
          <w:szCs w:val="24"/>
        </w:rPr>
        <w:t xml:space="preserve">Bevezetés: Az Európai Kardiológiai Társaság 2024-es útmutatójában a Fractional Flow Reserve (FFR) mellett a Quantitative Flow Reserve-t (QFR) is ajánlják a coronariaszűkületek funkcionális súlyosságának megítélésére. Továbbra sem tisztázott azonban a QFR és FFR korrelációja, az értékeket befolyásoló klinikai paraméterek és a vizsgáló tapasztalatának hatása a számításra.</w:t>
      </w:r>
    </w:p>
    <w:p>
      <w:pPr>
        <w:widowControl w:val="on"/>
        <w:pBdr/>
        <w:spacing w:before="240" w:after="240" w:line="240" w:lineRule="auto"/>
        <w:ind w:left="0" w:right="0"/>
        <w:jc w:val="left"/>
      </w:pPr>
      <w:r>
        <w:rPr>
          <w:color w:val="000000"/>
          <w:sz w:val="24"/>
          <w:szCs w:val="24"/>
        </w:rPr>
        <w:t xml:space="preserve">Célkitűzés: Kutatásunk célja a QFR és FFR, továbbá eltérésük klinikai paraméterekkel való összefüggésének vizsgálata, valamint a QFR meghatározás tanulási folyamatának („learning curve”) elemzése volt.</w:t>
      </w:r>
    </w:p>
    <w:p>
      <w:pPr>
        <w:widowControl w:val="on"/>
        <w:pBdr/>
        <w:spacing w:before="240" w:after="240" w:line="240" w:lineRule="auto"/>
        <w:ind w:left="0" w:right="0"/>
        <w:jc w:val="left"/>
      </w:pPr>
      <w:r>
        <w:rPr>
          <w:color w:val="000000"/>
          <w:sz w:val="24"/>
          <w:szCs w:val="24"/>
        </w:rPr>
        <w:t xml:space="preserve">Módszer: Vizsgálatunkba a GOKVI-ban a 2023. év során FFR mérésen átesett betegeket vontuk be, akiken offline QFR számítás történt gyakorlatlan, az FFR értékekre vakosított vizsgáló által. Vizsgáltuk a QFR és FFR korrelációját, valamint az indikáció (acut (ACS) vs. chronicus coronaria syndroma (CCS)), aorta stenosis, bal kamra hypertrophia, diabetes mellitus, hypertonia, életkor, korábbi szívinfarctus, lokalizáció, nem és vizsgálat alatti pitvarfibrilláció hatását a mért FFR-re, a számított QFR-re és ezek különbségére. Vizsgáltuk, hogyan befolyásolja a gyakorlat növekedése a mérési időt, valamint a QFR és FFR értékek közötti eltérést.</w:t>
      </w:r>
    </w:p>
    <w:p>
      <w:pPr>
        <w:widowControl w:val="on"/>
        <w:pBdr/>
        <w:spacing w:before="240" w:after="240" w:line="240" w:lineRule="auto"/>
        <w:ind w:left="0" w:right="0"/>
        <w:jc w:val="left"/>
      </w:pPr>
      <w:r>
        <w:rPr>
          <w:color w:val="000000"/>
          <w:sz w:val="24"/>
          <w:szCs w:val="24"/>
        </w:rPr>
        <w:t xml:space="preserve">Eredmény: 591 beteg 778 coronariáján kíséreltünk meg QFR meghatározást, ebből 435 beteg 568 coronariáján történt sikeres QFR számítás. A QFR és FFR között erős korrelációt (r=0,802, p&lt;0,001) és jó egyezést (átl. eltérés: 0,011±0,057) tapasztaltunk. Legjobb korrelációt a LAD-ban, legrosszabbat az RCA-ban észleltünk. A vizsgált paraméterek közül a LAD lokalizáció kisebb FFR (p&lt;0,001) és QFR (p&lt;0,001) értéket, valamint nagyobb eltérést (p=0,038) eredményezett. Emellett az FFR-nak az életkor (p=0,018), QFR-nak a korábbi szívinfarctus (p=0,038), különbségüknek pedig az ACS indikáció (p=0,024) bizonyult szignifikáns prediktorának. A tanulási folyamat során szignifikánsan csökkent a mérési idő (első vs. utolsó 100 mérési idő átlaga: 648 s vs. 223 s, p&lt;0,001), valamint a torzítás is (első vs. utolsó 100 mérésnél a különbségek abs. értékének átlaga: 0,06 vs. 0,04, p&lt;0,001).</w:t>
      </w:r>
    </w:p>
    <w:p>
      <w:pPr>
        <w:widowControl w:val="on"/>
        <w:pBdr/>
        <w:spacing w:before="240" w:after="240" w:line="240" w:lineRule="auto"/>
        <w:ind w:left="0" w:right="0"/>
        <w:jc w:val="left"/>
      </w:pPr>
      <w:r>
        <w:rPr>
          <w:color w:val="000000"/>
          <w:sz w:val="24"/>
          <w:szCs w:val="24"/>
        </w:rPr>
        <w:t xml:space="preserve">Következtetés: A számított QFR értékek jól korrelálnak a mért FFR-ral. A LAD lokalizáció és a korábbi infarctus alacsonyabb QFR-t, az ACS indikáció és a LAD lokalizáció pedig jelentősebb QFR-FFR eltérést eredményez. A mérések számával csökken a mérésekhez szükséges idő, javul a mérés pontossága.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71568">
    <w:multiLevelType w:val="hybridMultilevel"/>
    <w:lvl w:ilvl="0" w:tplc="37860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71568">
    <w:abstractNumId w:val="26971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023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