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ZOLTÁN</w:t>
            </w:r>
          </w:p>
          <w:p w:rsidR="00C275A3" w:rsidRDefault="00CA6B74" w:rsidP="00C275A3">
            <w:pPr>
              <w:pStyle w:val="Hallgatokepzes"/>
            </w:pPr>
            <w:r w:rsidRPr="001067CD">
              <w:rPr>
                <w:i/>
              </w:rPr>
              <w:t>hozo1999@gmail.com</w:t>
            </w:r>
            <w:r w:rsidRPr="001067CD">
              <w:rPr>
                <w:i/>
              </w:rPr>
              <w:br/>
            </w:r>
            <w:r w:rsidR="00A96AEC">
              <w:t>Általános orvos</w:t>
            </w:r>
            <w:r w:rsidR="00A96AEC">
              <w:br/>
            </w:r>
            <w:r w:rsidR="00E77B23">
              <w:t>Osztatlan, 12.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KOCSIS-BALOGH PETRA</w:t>
            </w:r>
          </w:p>
          <w:p w:rsidR="00DB4822" w:rsidRDefault="00CA6B74" w:rsidP="004D7940">
            <w:pPr>
              <w:pStyle w:val="Hallgatokepzes"/>
            </w:pPr>
            <w:r w:rsidRPr="001067CD">
              <w:rPr>
                <w:i/>
              </w:rPr>
              <w:t>petrabalogh158@gmail.com</w:t>
            </w:r>
            <w:bookmarkStart w:id="1" w:name="_GoBack"/>
            <w:bookmarkEnd w:id="1"/>
            <w:r w:rsidRPr="001067CD">
              <w:br/>
            </w:r>
            <w:r w:rsidR="00C275A3">
              <w:t>Általános orvos</w:t>
            </w:r>
            <w:r w:rsidR="00A96AEC">
              <w:br/>
              <w:t>Osztatlan, 8.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 Dávid</w:t>
            </w:r>
          </w:p>
          <w:p w:rsidR="00DB4822" w:rsidRDefault="00DB4822" w:rsidP="00BA6BAF">
            <w:pPr>
              <w:pStyle w:val="Konzulensektitulus"/>
            </w:pPr>
            <w:r w:rsidRPr="00DB4822">
              <w:t>PhD hallgató, SE ÁOK</w:t>
            </w:r>
          </w:p>
        </w:tc>
      </w:tr>
      <w:tr w:rsidR="00DB4822" w:rsidTr="00DB4822">
        <w:tc>
          <w:tcPr>
            <w:tcW w:w="9854" w:type="dxa"/>
          </w:tcPr>
          <w:p w:rsidR="00DB4822" w:rsidRPr="00DB4822" w:rsidRDefault="00DB4822" w:rsidP="00BA6BAF">
            <w:pPr>
              <w:pStyle w:val="Konzulenseknev"/>
            </w:pPr>
            <w:r w:rsidRPr="00DB4822">
              <w:t>Dr. Ruppert Mihály</w:t>
            </w:r>
          </w:p>
          <w:p w:rsidR="00DB4822" w:rsidRDefault="00DB4822" w:rsidP="00BA6BAF">
            <w:pPr>
              <w:pStyle w:val="Konzulensektitulus"/>
            </w:pPr>
            <w:r w:rsidRPr="00DB4822">
              <w:t>egyetemi 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angiotenzin receptor – neprilizin inhibitor terápia antifibrotikus hatásának vizsgálata humán szívizomszövet mintákban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szívelégtelenség; miokardiális fibrózis; angiotenzin receptor-neprilizin inhibitor</w:t>
      </w:r>
      <w:r>
        <w:t xml:space="preserve"/>
      </w:r>
    </w:p>
    <w:p>
      <w:pPr>
        <w:widowControl w:val="on"/>
        <w:pBdr/>
        <w:spacing w:before="240" w:after="240" w:line="240" w:lineRule="auto"/>
        <w:ind w:left="0" w:right="0"/>
        <w:jc w:val="left"/>
      </w:pPr>
      <w:r>
        <w:rPr>
          <w:color w:val="000000"/>
          <w:sz w:val="24"/>
          <w:szCs w:val="24"/>
        </w:rPr>
        <w:t xml:space="preserve">Bevezetés: Azt, hogy az angiotenzin receptor – neprilizin inhibitor (ARNI) terápia előnyösebb az angiotenzin konvertáló enzim inhibitorral (ACEi) szemben csökkent ejekciós frakciójú szívelégtelen (SzE) betegek kezelésében, többek közt jelentősebb antifibrotikus hatásának tulajdoníthatjuk. Ezt számos kísérletes, szívelégtelen állatmodellen végzett vizsgálat bizonyítja, ugyanakkor a humán evidenciák máig az echokardiográfiás, illetve a keringő biomarkerek vizsgálatából nyert adatokra szorítkoznak.</w:t>
      </w:r>
    </w:p>
    <w:p>
      <w:pPr>
        <w:widowControl w:val="on"/>
        <w:pBdr/>
        <w:spacing w:before="240" w:after="240" w:line="240" w:lineRule="auto"/>
        <w:ind w:left="0" w:right="0"/>
        <w:jc w:val="left"/>
      </w:pPr>
      <w:r>
        <w:rPr>
          <w:color w:val="000000"/>
          <w:sz w:val="24"/>
          <w:szCs w:val="24"/>
        </w:rPr>
        <w:t xml:space="preserve">Célkitűzés: Az ACEi és ARNI terápia antifibrotikus hatásának összehasonlítása szívátültetésen (heart transplantation, HTX) átesett betegek szívizomszövet mintáin.</w:t>
      </w:r>
    </w:p>
    <w:p>
      <w:pPr>
        <w:widowControl w:val="on"/>
        <w:pBdr/>
        <w:spacing w:before="240" w:after="240" w:line="240" w:lineRule="auto"/>
        <w:ind w:left="0" w:right="0"/>
        <w:jc w:val="left"/>
      </w:pPr>
      <w:r>
        <w:rPr>
          <w:color w:val="000000"/>
          <w:sz w:val="24"/>
          <w:szCs w:val="24"/>
        </w:rPr>
        <w:t xml:space="preserve">Módszerek: 84 előrehaladott SzE-ben szenvedő, HTX-en átesett beteget válogattunk be, akik vagy ARNI (ARNI csoport, N=41) vagy ACEi (ACEi csoport, N=43) kezelésben részesültek az optimális SzE terápiájuk részeként (ARNI/ACEi+béta-blokkoló+mineralokortikoid receptor antagonista), legalább a transzplantációt megelőző 3 hónapban. Kizárási kritériumok: mechanikus vagy gyógyszeres keringéstámogatás a HTX-et megelőző 3 hónapban; bal kamra anterior (BKA) területi iszkémia; vizsgálati készítmény szedése; szisztémás gyulladással, fibrózissal járó betegségek. A betegek BKA területi mintáit a HTX műtéte során, steril körülmények között konzerválták. Szövettani feldolgozás és elemzés kapcsán mértük az interstíciális fibrózis teljes szívizomterülethez viszonyított arányát. A fibrózisra jellegzetes biomarkerek génexpresszióit kvantitatív valós idejű polimeráz láncreakció segítségével határoztuk meg, GADPH-ra normalizálva.</w:t>
      </w:r>
    </w:p>
    <w:p>
      <w:pPr>
        <w:widowControl w:val="on"/>
        <w:pBdr/>
        <w:spacing w:before="240" w:after="240" w:line="240" w:lineRule="auto"/>
        <w:ind w:left="0" w:right="0"/>
        <w:jc w:val="left"/>
      </w:pPr>
      <w:r>
        <w:rPr>
          <w:color w:val="000000"/>
          <w:sz w:val="24"/>
          <w:szCs w:val="24"/>
        </w:rPr>
        <w:t xml:space="preserve">Eredmények: A két vizsgálati csoport megfelelően illesztett volt a klinikai paramétereket tekintve. A szövettani analízis során az interstíciális fibrózis terület az ARNI csoportban jelentős csökkenést mutatott az ACEi mintákhoz képest (8,5±0,5% SEM vs. 7,0±0,4% SEM p=0,027). A fibrózis mértéke összefüggést mutatott a nemmel, vesefunkcióval, valamint a cukorbetegséggel a populációnkban, ugyanakkor a korrigált statisztikai modellünkben az ARNI hatása függetlennek bizonyult ezektől a tényezőktől. A megmért 6 fibrotikus marker szívizomszöveti expressziója szintén lecsökkent az ARNI csoportban.</w:t>
      </w:r>
    </w:p>
    <w:p>
      <w:pPr>
        <w:widowControl w:val="on"/>
        <w:pBdr/>
        <w:spacing w:before="240" w:after="240" w:line="240" w:lineRule="auto"/>
        <w:ind w:left="0" w:right="0"/>
        <w:jc w:val="left"/>
      </w:pPr>
      <w:r>
        <w:rPr>
          <w:color w:val="000000"/>
          <w:sz w:val="24"/>
          <w:szCs w:val="24"/>
        </w:rPr>
        <w:t xml:space="preserve">Megbeszélés: Az ARNI kezelés hatásosabban csökkenti a miokardiális fibrózist az ACEi-hez képest HTX-en átesett, előrehaladott SzE betegek szívizomszöveti mintáit vizsgálva.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48442">
    <w:multiLevelType w:val="hybridMultilevel"/>
    <w:lvl w:ilvl="0" w:tplc="11669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48442">
    <w:abstractNumId w:val="34448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454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