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AMIRIFARD DINA</w:t>
            </w:r>
          </w:p>
          <w:p w:rsidR="00C275A3" w:rsidRDefault="00CA6B74" w:rsidP="00C275A3">
            <w:pPr>
              <w:pStyle w:val="Hallgatokepzes"/>
            </w:pPr>
            <w:r w:rsidRPr="001067CD">
              <w:rPr>
                <w:i/>
              </w:rPr>
              <w:t>amirideana@gmail.com</w:t>
            </w:r>
            <w:r w:rsidRPr="001067CD">
              <w:rPr>
                <w:i/>
              </w:rPr>
              <w:br/>
            </w:r>
            <w:r w:rsidR="00A96AEC">
              <w:t>AOK</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LACZKO PETRA</w:t>
            </w:r>
          </w:p>
          <w:p w:rsidR="00DB4822" w:rsidRDefault="00CA6B74" w:rsidP="004D7940">
            <w:pPr>
              <w:pStyle w:val="Hallgatokepzes"/>
            </w:pPr>
            <w:r w:rsidRPr="001067CD">
              <w:rPr>
                <w:i/>
              </w:rPr>
              <w:t>petra.laczko.mail@gmail.com</w:t>
            </w:r>
            <w:bookmarkStart w:id="1" w:name="_GoBack"/>
            <w:bookmarkEnd w:id="1"/>
            <w:r w:rsidRPr="001067CD">
              <w:br/>
            </w:r>
            <w:r w:rsidR="00C275A3">
              <w:t>Általános Orvostudományi Kar</w:t>
            </w:r>
            <w:r w:rsidR="00A96AEC">
              <w:br/>
              <w:t>Osztatlan, 12.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Szabo Liliana</w:t>
            </w:r>
          </w:p>
          <w:p w:rsidR="00DB4822" w:rsidRDefault="00DB4822" w:rsidP="00BA6BAF">
            <w:pPr>
              <w:pStyle w:val="Konzulensektitulus"/>
            </w:pPr>
            <w:r w:rsidRPr="00DB4822">
              <w:t>assistant lecturer, SE ÁOK</w:t>
            </w:r>
          </w:p>
        </w:tc>
      </w:tr>
      <w:tr w:rsidR="00DB4822" w:rsidTr="00DB4822">
        <w:tc>
          <w:tcPr>
            <w:tcW w:w="9854" w:type="dxa"/>
          </w:tcPr>
          <w:p w:rsidR="00DB4822" w:rsidRPr="00DB4822" w:rsidRDefault="00DB4822" w:rsidP="00BA6BAF">
            <w:pPr>
              <w:pStyle w:val="Konzulenseknev"/>
            </w:pPr>
            <w:r w:rsidRPr="00DB4822">
              <w:t>Prof. Dr. Vágó Hajnalka</w:t>
            </w:r>
          </w:p>
          <w:p w:rsidR="00DB4822" w:rsidRDefault="00DB4822" w:rsidP="00BA6BAF">
            <w:pPr>
              <w:pStyle w:val="Konzulensektitulus"/>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Cardiac magnetic resonance (CMR) findings of Reverse Cardiac Remodeling Following Detraining in Olympic Athletes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dekondicionálás, reverz remodelling, szív MR, sportszív</w:t>
      </w:r>
      <w:r>
        <w:t xml:space="preserve"/>
      </w:r>
    </w:p>
    <w:p>
      <w:pPr>
        <w:widowControl w:val="on"/>
        <w:pBdr/>
        <w:spacing w:before="240" w:after="240" w:line="240" w:lineRule="auto"/>
        <w:ind w:left="0" w:right="0"/>
        <w:jc w:val="left"/>
      </w:pPr>
      <w:r>
        <w:rPr>
          <w:color w:val="000000"/>
          <w:sz w:val="24"/>
          <w:szCs w:val="24"/>
        </w:rPr>
        <w:t xml:space="preserve">Introduction: Intensive regular physical exercise induces the so-called “athlete’s heart,” characterized by enlarged cardiac chambers and increased myocardial mass. While these adaptations are well-documented, their reversibility after detraining remains unclear. The post-Olympic resting period offers a unique window to study short-term detraining. This study evaluates cardiac remodeling by comparing peak fitness and early detraining phases using cardiac magnetic resonance (CMR).</w:t>
      </w:r>
      <w:r>
        <w:rPr>
          <w:color w:val="000000"/>
          <w:sz w:val="24"/>
          <w:szCs w:val="24"/>
        </w:rPr>
        <w:br/>
        <w:t xml:space="preserve">Methods: This prospective study included Olympic-level swimmers and water polo players preparing for the Paris 2024 Olympics. Athletes underwent two CMR assessments: Peak fitness (1–3 weeks pre-Olympics) and early rest (2–5 weeks post-competition) to evaluate short-term detraining effects. CMR imaging included cine sequences for ventricular function and T1/T2 mapping for myocardial tissue characterization. Paired t-tests compared CMR parameters between visits, while linear regression assessed sex-based differences.</w:t>
      </w:r>
      <w:r>
        <w:rPr>
          <w:color w:val="000000"/>
          <w:sz w:val="24"/>
          <w:szCs w:val="24"/>
        </w:rPr>
        <w:br/>
        <w:t xml:space="preserve">Results: Among 37 participants, 28 (9 males, 19 females, mean age 25±5 years) completed at least two CMRs. The mean interval between visits was 34±17 days. Most athletes reported no more than 4 hours per week of exercise. Significant reductions were observed in LVEDVi (110±14 to 104±16 mL/m², p&lt;0.001), LVMi (65±10 to 61±11 g/m², p&lt;0.001), and RVEDVi (111±17 to 104±19 mL/m², p&lt;0.001), indicating early reverse remodeling. LVEF remained stable (p=0.58), while T1 and T2 mapping values increased (p=0.02), suggesting myocardial tissue changes. Males had larger indexed ventricular volumes and higher LVMi than females, but both sexes showed similar magnitudes of remodeling following detraining.</w:t>
      </w:r>
      <w:r>
        <w:rPr>
          <w:color w:val="000000"/>
          <w:sz w:val="24"/>
          <w:szCs w:val="24"/>
        </w:rPr>
        <w:br/>
        <w:t xml:space="preserve">Discussion: This study highlights the dynamic plasticity of the athlete’s heart and the utility of CMR in monitoring physiological remodeling. By defining early reverse remodeling patterns, our findings contribute to differentiating physiological adaptation from pathological remodeling, a critical distinction in sports cardiology. Our Olympic cohort provides a unique and homogeneous study population, with a higher representation of female athletes than previous research. The findings underscore the importance of individualized cardiac assessments in elite sports.</w:t>
      </w:r>
      <w:r>
        <w:rPr>
          <w:color w:val="000000"/>
          <w:sz w:val="24"/>
          <w:szCs w:val="24"/>
        </w:rPr>
        <w:br/>
        <w:t xml:space="preserve">Funding: Supported by TKP2021-NKTA-46 research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44385">
    <w:multiLevelType w:val="hybridMultilevel"/>
    <w:lvl w:ilvl="0" w:tplc="43945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44385">
    <w:abstractNumId w:val="23844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196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