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BOGOS JULIANNA LARA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julianna.bogos@gmail.com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med. habil. Döme Balázs PhD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Megyesfalvi Zsolt PhD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Tumorevolúció és inter-tumorális heterogenitás elemzése kissejtes tüdőrákban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Kissejtes tüdőrák;gyorsboncolás;tumor heterogenitás:molekuláris altípusok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kissejtes tüdőrákot (SCLC) gyors növeke-</w:t>
      </w:r>
      <w:r>
        <w:rPr>
          <w:color w:val="000000"/>
          <w:sz w:val="24"/>
          <w:szCs w:val="24"/>
        </w:rPr>
        <w:br/>
        <w:t xml:space="preserve">dés és fokozott áttétképző potenciál jellemzi. Feltételezése-</w:t>
      </w:r>
      <w:r>
        <w:rPr>
          <w:color w:val="000000"/>
          <w:sz w:val="24"/>
          <w:szCs w:val="24"/>
        </w:rPr>
        <w:br/>
        <w:t xml:space="preserve">ink szerint a betegség gyors progressziója és a kezdeti jó terá-</w:t>
      </w:r>
      <w:r>
        <w:rPr>
          <w:color w:val="000000"/>
          <w:sz w:val="24"/>
          <w:szCs w:val="24"/>
        </w:rPr>
        <w:br/>
        <w:t xml:space="preserve">piás választ követő rezisztencia kialakulása az SCLC hetero-</w:t>
      </w:r>
      <w:r>
        <w:rPr>
          <w:color w:val="000000"/>
          <w:sz w:val="24"/>
          <w:szCs w:val="24"/>
        </w:rPr>
        <w:br/>
        <w:t xml:space="preserve">genitásával magyarázható.</w:t>
      </w:r>
      <w:r>
        <w:rPr>
          <w:color w:val="000000"/>
          <w:sz w:val="24"/>
          <w:szCs w:val="24"/>
        </w:rPr>
        <w:br/>
        <w:t xml:space="preserve">Célkitűzés: Elsődleges célunk az SCLC tumorevolúciós</w:t>
      </w:r>
      <w:r>
        <w:rPr>
          <w:color w:val="000000"/>
          <w:sz w:val="24"/>
          <w:szCs w:val="24"/>
        </w:rPr>
        <w:br/>
        <w:t xml:space="preserve">folyamatainak és inter-tumorális heterogenitásának feltérké-</w:t>
      </w:r>
      <w:r>
        <w:rPr>
          <w:color w:val="000000"/>
          <w:sz w:val="24"/>
          <w:szCs w:val="24"/>
        </w:rPr>
        <w:br/>
        <w:t xml:space="preserve">pezése primer tumorok és távoli szervi áttétek proteomikai és</w:t>
      </w:r>
      <w:r>
        <w:rPr>
          <w:color w:val="000000"/>
          <w:sz w:val="24"/>
          <w:szCs w:val="24"/>
        </w:rPr>
        <w:br/>
        <w:t xml:space="preserve">transzkriptomikai profilozása révén. További célunk a klini-</w:t>
      </w:r>
      <w:r>
        <w:rPr>
          <w:color w:val="000000"/>
          <w:sz w:val="24"/>
          <w:szCs w:val="24"/>
        </w:rPr>
        <w:br/>
        <w:t xml:space="preserve">kai vizsgálatok alatt álló molekuláris célpontok expressziós</w:t>
      </w:r>
      <w:r>
        <w:rPr>
          <w:color w:val="000000"/>
          <w:sz w:val="24"/>
          <w:szCs w:val="24"/>
        </w:rPr>
        <w:br/>
        <w:t xml:space="preserve">szintjében fennálló heterogenitás vizsgálata volt.</w:t>
      </w:r>
      <w:r>
        <w:rPr>
          <w:color w:val="000000"/>
          <w:sz w:val="24"/>
          <w:szCs w:val="24"/>
        </w:rPr>
        <w:br/>
        <w:t xml:space="preserve">Módszer: A multilokalizációs szövetmintákat gyorsbon-</w:t>
      </w:r>
      <w:r>
        <w:rPr>
          <w:color w:val="000000"/>
          <w:sz w:val="24"/>
          <w:szCs w:val="24"/>
        </w:rPr>
        <w:br/>
        <w:t xml:space="preserve">colási programunk révén gyűjtöttük össze. Tekintve, hogy a</w:t>
      </w:r>
      <w:r>
        <w:rPr>
          <w:color w:val="000000"/>
          <w:sz w:val="24"/>
          <w:szCs w:val="24"/>
        </w:rPr>
        <w:br/>
        <w:t xml:space="preserve">fehérjék lebomlása szinte azonnal megkezdődik a keringés</w:t>
      </w:r>
      <w:r>
        <w:rPr>
          <w:color w:val="000000"/>
          <w:sz w:val="24"/>
          <w:szCs w:val="24"/>
        </w:rPr>
        <w:br/>
        <w:t xml:space="preserve">leállása után, a boncolást minden esetben a beteg halálát kö-</w:t>
      </w:r>
      <w:r>
        <w:rPr>
          <w:color w:val="000000"/>
          <w:sz w:val="24"/>
          <w:szCs w:val="24"/>
        </w:rPr>
        <w:br/>
        <w:t xml:space="preserve">vető négy órán belül elvégeztük a Ghon-technika szerint. A</w:t>
      </w:r>
      <w:r>
        <w:rPr>
          <w:color w:val="000000"/>
          <w:sz w:val="24"/>
          <w:szCs w:val="24"/>
        </w:rPr>
        <w:br/>
        <w:t xml:space="preserve">szövetmintákat gyorsfagyasztással és formalin-fixálással tar-</w:t>
      </w:r>
      <w:r>
        <w:rPr>
          <w:color w:val="000000"/>
          <w:sz w:val="24"/>
          <w:szCs w:val="24"/>
        </w:rPr>
        <w:br/>
        <w:t xml:space="preserve">tósítottuk. Összesen 66 primer és áttétes lokalizációból szár-</w:t>
      </w:r>
      <w:r>
        <w:rPr>
          <w:color w:val="000000"/>
          <w:sz w:val="24"/>
          <w:szCs w:val="24"/>
        </w:rPr>
        <w:br/>
        <w:t xml:space="preserve">mazó SCLC mintát elemeztünk proteomikai vizsgálatokkal,</w:t>
      </w:r>
      <w:r>
        <w:rPr>
          <w:color w:val="000000"/>
          <w:sz w:val="24"/>
          <w:szCs w:val="24"/>
        </w:rPr>
        <w:br/>
        <w:t xml:space="preserve">RNS szekvenálással, továbbá immunhisztokémiai módsze-</w:t>
      </w:r>
      <w:r>
        <w:rPr>
          <w:color w:val="000000"/>
          <w:sz w:val="24"/>
          <w:szCs w:val="24"/>
        </w:rPr>
        <w:br/>
        <w:t xml:space="preserve">rekkel. Az inter-tumorális heterogenitás mértékét a median</w:t>
      </w:r>
      <w:r>
        <w:rPr>
          <w:color w:val="000000"/>
          <w:sz w:val="24"/>
          <w:szCs w:val="24"/>
        </w:rPr>
        <w:br/>
        <w:t xml:space="preserve">absolute deviation (MAD) score alapján határoztuk meg.</w:t>
      </w:r>
      <w:r>
        <w:rPr>
          <w:color w:val="000000"/>
          <w:sz w:val="24"/>
          <w:szCs w:val="24"/>
        </w:rPr>
        <w:br/>
        <w:t xml:space="preserve">Eredmények: Proteomikai méréseink során összesen</w:t>
      </w:r>
      <w:r>
        <w:rPr>
          <w:color w:val="000000"/>
          <w:sz w:val="24"/>
          <w:szCs w:val="24"/>
        </w:rPr>
        <w:br/>
        <w:t xml:space="preserve">8283 fehérjét azonosítottunk és kvantifikáltunk, míg RNS</w:t>
      </w:r>
      <w:r>
        <w:rPr>
          <w:color w:val="000000"/>
          <w:sz w:val="24"/>
          <w:szCs w:val="24"/>
        </w:rPr>
        <w:br/>
        <w:t xml:space="preserve">szekvenálással 19282 gént különböztettünk meg. Az RNS és</w:t>
      </w:r>
      <w:r>
        <w:rPr>
          <w:color w:val="000000"/>
          <w:sz w:val="24"/>
          <w:szCs w:val="24"/>
        </w:rPr>
        <w:br/>
        <w:t xml:space="preserve">a protein adatok közötti korrelációs koefficiens R=0,29 volt,</w:t>
      </w:r>
      <w:r>
        <w:rPr>
          <w:color w:val="000000"/>
          <w:sz w:val="24"/>
          <w:szCs w:val="24"/>
        </w:rPr>
        <w:br/>
        <w:t xml:space="preserve">mely megfelel a szakirodalomban leírtakkal. Összesen 62</w:t>
      </w:r>
      <w:r>
        <w:rPr>
          <w:color w:val="000000"/>
          <w:sz w:val="24"/>
          <w:szCs w:val="24"/>
        </w:rPr>
        <w:br/>
        <w:t xml:space="preserve">ideális gyógyszercélpontot azonosítottunk, melyek stabilan</w:t>
      </w:r>
      <w:r>
        <w:rPr>
          <w:color w:val="000000"/>
          <w:sz w:val="24"/>
          <w:szCs w:val="24"/>
        </w:rPr>
        <w:br/>
        <w:t xml:space="preserve">magas expressziós szintekkel rendelkeztek (MAD score</w:t>
      </w:r>
      <w:r>
        <w:rPr>
          <w:color w:val="000000"/>
          <w:sz w:val="24"/>
          <w:szCs w:val="24"/>
        </w:rPr>
        <w:br/>
        <w:t xml:space="preserve">&lt;0,10) a többlokalizációs tumorminták tekintetében. A jelen-</w:t>
      </w:r>
      <w:r>
        <w:rPr>
          <w:color w:val="000000"/>
          <w:sz w:val="24"/>
          <w:szCs w:val="24"/>
        </w:rPr>
        <w:br/>
        <w:t xml:space="preserve">leg klinikai vizsgálat alatt álló molekuláris célpontokra köze-</w:t>
      </w:r>
      <w:r>
        <w:rPr>
          <w:color w:val="000000"/>
          <w:sz w:val="24"/>
          <w:szCs w:val="24"/>
        </w:rPr>
        <w:br/>
        <w:t xml:space="preserve">pes (DLL3 és SLFN11), illetve nagyfokú (BCL-2) inter-</w:t>
      </w:r>
      <w:r>
        <w:rPr>
          <w:color w:val="000000"/>
          <w:sz w:val="24"/>
          <w:szCs w:val="24"/>
        </w:rPr>
        <w:br/>
        <w:t xml:space="preserve">tumorális heterogenitás volt jellemző. Ennek megfelelően, a</w:t>
      </w:r>
      <w:r>
        <w:rPr>
          <w:color w:val="000000"/>
          <w:sz w:val="24"/>
          <w:szCs w:val="24"/>
        </w:rPr>
        <w:br/>
        <w:t xml:space="preserve">MAD score BCL-2 esetén bizonyult a legmagasabbnak: 0,55.</w:t>
      </w:r>
      <w:r>
        <w:rPr>
          <w:color w:val="000000"/>
          <w:sz w:val="24"/>
          <w:szCs w:val="24"/>
        </w:rPr>
        <w:br/>
        <w:t xml:space="preserve">DLL3 és SLFN11 esetén a MAD score értékei 0,39 és 0,22</w:t>
      </w:r>
      <w:r>
        <w:rPr>
          <w:color w:val="000000"/>
          <w:sz w:val="24"/>
          <w:szCs w:val="24"/>
        </w:rPr>
        <w:br/>
        <w:t xml:space="preserve">voltak, mely közepes szintű varianciát feltételez expressziós</w:t>
      </w:r>
      <w:r>
        <w:rPr>
          <w:color w:val="000000"/>
          <w:sz w:val="24"/>
          <w:szCs w:val="24"/>
        </w:rPr>
        <w:br/>
        <w:t xml:space="preserve">profiljukat illetően.</w:t>
      </w:r>
      <w:r>
        <w:rPr>
          <w:color w:val="000000"/>
          <w:sz w:val="24"/>
          <w:szCs w:val="24"/>
        </w:rPr>
        <w:br/>
        <w:t xml:space="preserve">Megbeszélés:A jelenleg ismert terápiás relevanciá-</w:t>
      </w:r>
      <w:r>
        <w:rPr>
          <w:color w:val="000000"/>
          <w:sz w:val="24"/>
          <w:szCs w:val="24"/>
        </w:rPr>
        <w:br/>
        <w:t xml:space="preserve">val bíró fehérjék expressziós profiljának tekintetében különb-</w:t>
      </w:r>
      <w:r>
        <w:rPr>
          <w:color w:val="000000"/>
          <w:sz w:val="24"/>
          <w:szCs w:val="24"/>
        </w:rPr>
        <w:br/>
        <w:t xml:space="preserve">ségek mutatkoznak a primer tumorok és azok szervi áttétei</w:t>
      </w:r>
      <w:r>
        <w:rPr>
          <w:color w:val="000000"/>
          <w:sz w:val="24"/>
          <w:szCs w:val="24"/>
        </w:rPr>
        <w:br/>
        <w:t xml:space="preserve">között. Az újonnan azonosított stabil expresszióval rendelke-</w:t>
      </w:r>
      <w:r>
        <w:rPr>
          <w:color w:val="000000"/>
          <w:sz w:val="24"/>
          <w:szCs w:val="24"/>
        </w:rPr>
        <w:br/>
        <w:t xml:space="preserve">ző terápiás célpontok további vizsgálata utat nyithat újszerű</w:t>
      </w:r>
      <w:r>
        <w:rPr>
          <w:color w:val="000000"/>
          <w:sz w:val="24"/>
          <w:szCs w:val="24"/>
        </w:rPr>
        <w:br/>
        <w:t xml:space="preserve">terápiás megközelítések bevezetéséhez.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32065">
    <w:multiLevelType w:val="hybridMultilevel"/>
    <w:lvl w:ilvl="0" w:tplc="93086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32065">
    <w:abstractNumId w:val="916320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74203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