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sipos.botond@stud.semmelweis.hu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Hantos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Chung-Wai Chow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X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Tüdőtranszplantáltak légzésfunkciójának longitudinális vizsgálata követéses oszcillometriával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pulmonológia; tüdőtranszplantáció; CLAD; oszcillometria; légzésfunkció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</w:t>
      </w:r>
      <w:r>
        <w:rPr>
          <w:color w:val="000000"/>
          <w:sz w:val="24"/>
          <w:szCs w:val="24"/>
        </w:rPr>
        <w:br/>
        <w:t xml:space="preserve">A végstádiumú tüdőbetegségek egyetlen terápiáját a tüdőtranszplantáció jelenti, melyben a hosszútávú túlélést a krónikus tüdő allograft diszfunkció (CLAD) korlátozza. A követéses (intra-breath: IB) oszcillometria módszerével szenzitíven vizsgálhatóak a perifériás légutak eltérései, köztük a bronchiolitis obliterans szindróma (BOS) okozta légzésmechanikai változások.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</w:t>
      </w:r>
      <w:r>
        <w:rPr>
          <w:color w:val="000000"/>
          <w:sz w:val="24"/>
          <w:szCs w:val="24"/>
        </w:rPr>
        <w:br/>
        <w:t xml:space="preserve">Vizsgálni kívántuk, hogy a spontán légzés során fellépő (tidális) kilégzési áramláskorlátozás (tEFL) IB oszcillometria általi detektálása segítségével észlelhetőek-e légzésmechanikai változások a CLAD fellépése előtt.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</w:t>
      </w:r>
      <w:r>
        <w:rPr>
          <w:color w:val="000000"/>
          <w:sz w:val="24"/>
          <w:szCs w:val="24"/>
        </w:rPr>
        <w:br/>
        <w:t xml:space="preserve">A Torontói Egyetem légzésfunkciós laboratóriumában a tüdőtranszplantáltak rendszeres utánkövetésének része a 10 Hz-es IB oszcillometria spirometria előtti alkalmazása. 2017 és 2022 között tüdőtranszplantáción átesett 591 páciens 964 napos (medián) utánkövetése során mért 6780 tesztanyagát elemeztük saját fejlesztésű szoftverrel. Az adatokat a CLAD diagnózis időpontjához viszonyítva csoportosítottuk, és vizsgáltuk a tEFL-re, így a perifériás légutak instabilitására jellemző oszcillometriás mutatókat.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204 páciensnél (34,5%) alakult ki CLAD, ebből 80-nál BOS. A páciensek oszcillometriás reaktanciamutatói (a legalacsonyabb exspirációs érték: XminE és a reaktancia-áramlás hurokterület: AXV’) idővel romló tendenciát mutattak, Wilcoxon-teszttel szignifikánsan (p&lt;0,001) elkülönültek a CLAD diagnózist jelentősen (&gt;1 hónap), vagy közvetlenül (0-1 hónap) megelőző, illetve azutáni mérésekben. A különbség kizárólag a BOS csoportot vizsgálva még számottevőbb. Szenzitivitás és specificitás vizsgálatára reciever operating characteristic (ROC) analízist alkalmazva a görbe alatti terület (AUC) XminE esetén CLAD kimutatására 0,851-nak, BOS-ra 0,880-nak, AXV’ esetén 0,778-nak és 0,862-nek adódott.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</w:t>
      </w:r>
      <w:r>
        <w:rPr>
          <w:color w:val="000000"/>
          <w:sz w:val="24"/>
          <w:szCs w:val="24"/>
        </w:rPr>
        <w:br/>
        <w:t xml:space="preserve">Az oszcillometriával észlelhető tEFL gyakrabban jelenik meg CLAD esetében, és valószínűsíthetően a BOS perifériás légúti elváltozásaival áll kapcsolatban. A tEFL mintázatot jellemző IB oszcillometriás mutatók jelentősen változnak a CLAD kialakulásának folyamata során, és már a diagnózishoz szükséges erőltetett kilégzési térfogat (FEV1) változása előtt szignifikáns különbséget mutatnak. Eredményeink alapján feltételezhető, hogy a minimális kooperációt igénylő IB oszcillometria korábban jelzi elő a CLAD-ot, mint a FEV1 változása.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09369">
    <w:multiLevelType w:val="hybridMultilevel"/>
    <w:lvl w:ilvl="0" w:tplc="32252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09369">
    <w:abstractNumId w:val="46309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98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