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GABRIELLA</w:t>
            </w:r>
          </w:p>
          <w:p w:rsidR="00C275A3" w:rsidRDefault="00A96AEC" w:rsidP="00C275A3">
            <w:pPr>
              <w:pStyle w:val="Hallgatokepzes"/>
            </w:pPr>
            <w:r>
              <w:t>Matematika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Gyurkovics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Lur'e típusú rendszerek stabilizálása NMPC módszerrel állapot és vezérlés korlátok mellett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csúszó időhorizont módszer (nonlinear model predictive control, NMPC) az utóbbi 15-20 évben alakult ki, és ma is kutatások tárgya. NMPC segítségével nemlineáris irányítási rendszerek állapot és vezérlés korlátokkal is stabilizálhatóak, ami sok ipari irányításelméleti problémát magában foglal (pl. robot kar mozgatása).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NMPC alapötlete: egy végtelen időintervallumon vett optimalizálási feladat helyett véges időintervallumokon vett optimalizálási feladatok egy sorozatát tekintjük. Mára számos NMPC alapú módszert fejlesztettek ki, melyek garantálják a stabilitást. Ezen módszerek egyik hátránya, hogy az optimalizálási probléma nem biztos, hogy konvex lesz, és így szükséges számítás ráfordítás igen nagy lehet. Az utóbbi időben a vizsgálatok egy jelentős része arra irányul, hogy speciális feladatosztályok esetén hatékony algoritmusokat dolgozzanak ki. Az [1] cikkben folytonos idejű Lur’e típusú rendszerek esetén alkalmazható módszert javasoltak. Megmutatták, hogy egy változó „trial and error” típusú rögzítésével a feladat lineáris mátrix-egyenlőtlenségek (LMIs) megoldására vezethető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[2] eredményeit felhasználva, a dolgozatban olyan megoldást kerestünk, melynek segítségével ez a változó is mindig szabad lesz, de továbbra is LMI-k segítségével megoldható. Ezen új módszer helyességét bizonyítottuk. Megvizsgáltuk, hogy milyen hatással van a vizsgált rendszerre, milyen módon befolyásolja a stabilizáció sebességét, és a célfüggvény értékét. Ezen vizsgálatok numerikus szimulálásához a MATLAB LMI Lab eszköztárát használtuk.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F. Allgöwer et al., „Predictive Control for Lure Systems Subject to Constraints Using LMIs”, Proc. ECC’09, Budapest (2009).</w:t>
      </w:r>
      <w:r>
        <w:rPr>
          <w:color w:val="000000"/>
          <w:sz w:val="24"/>
          <w:szCs w:val="24"/>
        </w:rPr>
        <w:br/>
        <w:t xml:space="preserve">2. Gyurkovics É. és Takács T., „Application of matrix multipliers in case of conic uncertainty sets”, Proc. ECC’09, Budapest (2009).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64982">
    <w:multiLevelType w:val="hybridMultilevel"/>
    <w:lvl w:ilvl="0" w:tplc="70127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64982">
    <w:abstractNumId w:val="43364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098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