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L. CSEPANY</w:t>
            </w:r>
          </w:p>
          <w:p w:rsidR="00C275A3" w:rsidRDefault="00A96AEC" w:rsidP="00C275A3">
            <w:pPr>
              <w:pStyle w:val="Hallgatokepzes"/>
            </w:pPr>
            <w:r>
              <w:t>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Gergő Pokol</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Gergely Papp</w:t>
            </w:r>
          </w:p>
          <w:p w:rsidR="00DB4822" w:rsidRDefault="00DB4822" w:rsidP="00E11062">
            <w:pPr>
              <w:pStyle w:val="Konzulensek"/>
            </w:pPr>
            <w:r w:rsidRPr="00DB4822">
              <w:t>PhD student,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Kinetic simulation of runaway electrons in tokamaks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Tokamaks, the primary devices in fusion plasma physics, are a mature technology but there are still not fully understood effects, such as the runaway electron generation and suppression. The runaway electrons are high speed electrons in the plasma which can do serious damage to the vacuum vessel. The ARENA code calculates the distribution function of electrons in a tokamak including the effects of runaway electrons using self-consistent modeling of the electric field. This code showed good agreement with theoretical results [1-2], but has not been under active development for 7 years.</w:t>
      </w:r>
    </w:p>
    <w:p>
      <w:pPr>
        <w:widowControl w:val="on"/>
        <w:pBdr/>
        <w:spacing w:before="240" w:after="240" w:line="240" w:lineRule="auto"/>
        <w:ind w:left="0" w:right="0"/>
        <w:jc w:val="left"/>
      </w:pPr>
      <w:r>
        <w:rPr>
          <w:color w:val="000000"/>
          <w:sz w:val="24"/>
          <w:szCs w:val="24"/>
        </w:rPr>
        <w:t xml:space="preserve">In the first phase of my thesis work I updated ARENA to a modern programming language and refactored a major piece of the code to assist further improvements. The core of the code uses Monte Carlo methods to follow the particles combined with finite element method for the evolution of the electric field. Verification tests were created to test the Monte Carlo collision operator and other physical effects.</w:t>
      </w:r>
    </w:p>
    <w:p>
      <w:pPr>
        <w:widowControl w:val="on"/>
        <w:pBdr/>
        <w:spacing w:before="240" w:after="240" w:line="240" w:lineRule="auto"/>
        <w:ind w:left="0" w:right="0"/>
        <w:jc w:val="left"/>
      </w:pPr>
      <w:r>
        <w:rPr>
          <w:color w:val="000000"/>
          <w:sz w:val="24"/>
          <w:szCs w:val="24"/>
        </w:rPr>
        <w:t xml:space="preserve">The verification consists of three main tests: 1) the Monte Carlo core should keep the initial Maxwellian distribution of the electrons in lack of external fields and 2) the growth rate of the primary generation method (so called Dreicer generation) and 3) the growth rate of the secondary generation (called the avalanche effect) should agree with the theoretical expectations. For example, tests show that the initial Maxwellian distribution was kept for more than 100 runaway collision times, indicating that the collision operator functions well.</w:t>
      </w:r>
    </w:p>
    <w:p>
      <w:pPr>
        <w:widowControl w:val="on"/>
        <w:pBdr/>
        <w:spacing w:before="240" w:after="240" w:line="240" w:lineRule="auto"/>
        <w:ind w:left="0" w:right="0"/>
        <w:jc w:val="left"/>
      </w:pPr>
      <w:r>
        <w:rPr>
          <w:color w:val="000000"/>
          <w:sz w:val="24"/>
          <w:szCs w:val="24"/>
        </w:rPr>
        <w:t xml:space="preserve">This project is part of the EFDA Integrated Tokamak Modeling Task Force (ITM). The aim of the ITM is to connect different simulation codes together using standardized libraries and data structures. ARENA was prepared to be integrated the framework of the ITM by modularizing the data-structure used in ARENA and reading input parameters through the framework. Using these developments, the code was successfully integrated in the ITM platform.</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[1] L.-G. Eriksson and P. Helander, “Simulation of runaway electrons during tokamak disruptions,” Computer Physics Communications, vol. 154, no. 3, pp. 175-196, Aug. 2003.</w:t>
      </w:r>
      <w:r>
        <w:rPr>
          <w:color w:val="000000"/>
          <w:sz w:val="24"/>
          <w:szCs w:val="24"/>
        </w:rPr>
        <w:br/>
        <w:t xml:space="preserve">[2] L.-G. Eriksson, P. Helander, F. Andersson, D. Anderson, and M. Lisak, “Current Dynamics during Disruptions in Large Tokamaks,” Physical Review Letters, vol. 92, no. 20, pp. 1-4, May. 2004.</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39354">
    <w:multiLevelType w:val="hybridMultilevel"/>
    <w:lvl w:ilvl="0" w:tplc="91960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39354">
    <w:abstractNumId w:val="74839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434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