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SAROLTA, KECSKÉS</w:t>
            </w:r>
          </w:p>
          <w:p w:rsidR="00C275A3" w:rsidRDefault="00A96AEC" w:rsidP="00C275A3">
            <w:pPr>
              <w:pStyle w:val="Hallgatokepzes"/>
            </w:pPr>
            <w:r>
              <w:t>agrar engineer</w:t>
            </w:r>
            <w:r>
              <w:br/>
            </w:r>
            <w:r w:rsidR="00E77B23">
              <w:t>BSc, 3.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Bene</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Kisbér half bred and hungarian sport horse stallions totalized results under saddle between 1995-2010.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intention of my task was the monitoring of own-efficiency under saddle at kisbéri half-bred and hungarian sport horse stallions, and than the comparison of the results. At the dissection of ratesI had to consider the different aims of breeds.</w:t>
      </w:r>
    </w:p>
    <w:p>
      <w:pPr>
        <w:pBdr/>
        <w:spacing w:before="240" w:after="240" w:line="240" w:lineRule="auto"/>
        <w:ind w:left="0" w:right="0"/>
        <w:jc w:val="left"/>
      </w:pPr>
      <w:r>
        <w:rPr>
          <w:color w:val="000000"/>
          <w:sz w:val="24"/>
          <w:szCs w:val="24"/>
        </w:rPr>
        <w:t xml:space="preserve">On the grounds of results we can state, that behaviour- and reputation criticism have not remarkable differences between the two breds. Against these features in more cases is statistically explainable, that the criticism of moving have distinction. So the order of the breds as follows: hungarian sport horse and kisbéri half-bred.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12850">
    <w:multiLevelType w:val="hybridMultilevel"/>
    <w:lvl w:ilvl="0" w:tplc="92215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12850">
    <w:abstractNumId w:val="58112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129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