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ERIKA TOTH</w:t>
            </w:r>
          </w:p>
          <w:p w:rsidR="00C275A3" w:rsidRDefault="00A96AEC" w:rsidP="00C275A3">
            <w:pPr>
              <w:pStyle w:val="Hallgatokepzes"/>
            </w:pPr>
            <w:r>
              <w:t>international economics</w:t>
            </w:r>
            <w:r>
              <w:br/>
            </w:r>
            <w:r w:rsidR="00E77B23">
              <w:t>BSc, 3.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Vásáry Phd</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Turkey and the European Union- issues of economic integration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1987, Turkey applied to join the European Union and get a full membership what was then the European Economic Community. The total custom union had been established after the association agreement was signed by the two parties mentioned above in 1996. After that, in 1997 the Luxembourg Council summit declared Turkey eligible to become EU member and in 1998 they got a program called ’European Strategy to Turkey’. It contained the main priorities to meet the Copenhagen criteria. In the next year Turkey became a candidate country. However, the accession negotiations began later in 2005. Since 1999, the economic conditions have been continuously changing around the world, there have been difficulties, weaknesses or crises sometimes.</w:t>
      </w:r>
      <w:r>
        <w:rPr>
          <w:color w:val="000000"/>
          <w:sz w:val="24"/>
          <w:szCs w:val="24"/>
        </w:rPr>
        <w:br/>
        <w:t xml:space="preserve">In my research, I intend to examine the special relation between Turkey and the European Union using macroeconomic indicators and comparing data. The purpose is to examine the fields where Turkey has a lag compared to the EU and those that are strong and justify the integration.</w:t>
      </w:r>
      <w:r>
        <w:rPr>
          <w:color w:val="000000"/>
          <w:sz w:val="24"/>
          <w:szCs w:val="24"/>
        </w:rPr>
        <w:br/>
        <w:t xml:space="preserve">My objective is to reveal the progress and the change of the Turkish economy that helps us to understand which sectors are not ready to the accession and the conditions what are not fulfilled.</w:t>
      </w:r>
      <w:r>
        <w:rPr>
          <w:color w:val="000000"/>
          <w:sz w:val="24"/>
          <w:szCs w:val="24"/>
        </w:rPr>
        <w:br/>
        <w:t xml:space="preserve">The European Union maintain the open-endness of the negotiations which means that the European Committee has the right to suspend the accession negotiations. The main question of my research is whether it possible for Turkey to join the European Union according to its economy. If it is possible, what are the advantages and disadvantages to the two parties?</w:t>
      </w:r>
      <w:r>
        <w:rPr>
          <w:color w:val="000000"/>
          <w:sz w:val="24"/>
          <w:szCs w:val="24"/>
        </w:rPr>
        <w:br/>
        <w:t xml:space="preserve">I have chosen this topic because I was attracted by the actuality of it and I wanted to make an international outlook. The special status between Turkey and the European Union also motivated me to study this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18910">
    <w:multiLevelType w:val="hybridMultilevel"/>
    <w:lvl w:ilvl="0" w:tplc="20975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18910">
    <w:abstractNumId w:val="86018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354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