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PREININGER-BÓDIS ANDREA</w:t>
            </w:r>
          </w:p>
          <w:p w:rsidR="00C275A3" w:rsidRDefault="00A96AEC" w:rsidP="00C275A3">
            <w:pPr>
              <w:pStyle w:val="Hallgatokepzes"/>
            </w:pPr>
            <w:r>
              <w:t>Rendészeti Igazgatási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Rendőrtiszti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Szombati Zoltán</w:t>
            </w:r>
          </w:p>
          <w:p w:rsidR="00DB4822" w:rsidRDefault="00DB4822" w:rsidP="00E11062">
            <w:pPr>
              <w:pStyle w:val="Konzulensek"/>
            </w:pPr>
            <w:r w:rsidRPr="00DB4822">
              <w:t>mk. ezredes,  nyá. mk. ezredes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Honvédség katasztrófavédelmi együttműködése, különös tekintettel 2010-es ajkai vörös iszap katasztrófára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Magyar Honvédség katasztrófavédelmi tevékenységét mutatom be a 2010 október 04-én bekövetkezett "vörös iszap" katasztrófa kapcsán.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Bemutatom, hogy a HKR, mint ágazaton belüli rendszer, hogyan használható széles körben. Az időrendi sorrendiséget betartva bemutatom, hogy a Magyar Honvédség a katasztrófavédelmi tevékenysége során milyen feladatokat oldott meg és a HKR széles körben hogyan alakalmazható. Rávilágítok a technikai eszközök  minőségére és korára, valaminmt időrendben bemutatom a Magyar Honvédség állományának áldozatos munkáját, melyet a katasztrófa felszámolásának érdekében tett.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564074">
    <w:multiLevelType w:val="hybridMultilevel"/>
    <w:lvl w:ilvl="0" w:tplc="81128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564074">
    <w:abstractNumId w:val="255640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42468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