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ANDREA PREININGER-BÓDIS</w:t>
            </w:r>
          </w:p>
          <w:p w:rsidR="00C275A3" w:rsidRDefault="00A96AEC" w:rsidP="00C275A3">
            <w:pPr>
              <w:pStyle w:val="Hallgatokepzes"/>
            </w:pPr>
            <w:r>
              <w:t>Administrative Law Enforcement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Zoltán Szombati</w:t>
            </w:r>
          </w:p>
          <w:p w:rsidR="00DB4822" w:rsidRDefault="00DB4822" w:rsidP="00E11062">
            <w:pPr>
              <w:pStyle w:val="Konzulensek"/>
            </w:pPr>
            <w:r w:rsidRPr="00DB4822">
              <w:t>nyá. mk. ezredes,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Cooperation of the Hungarian Army regarding to the catastrophy of red mud in Ajka in 2010.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 paper I would like to reflect on the catastrophe protection of the Hungarian Army regarding to the "Red Mud" catastrophy in 04. october 2010.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introducing how the HKR, as a branch sistem, can be used in a wide circle. I am going to focus on the different procedures of the HKRduring the time of the disaster paying attention to the chronological order of the events. I am trying to concentrate on the quality and age of the technical equipment and the struggling of the Hungarian Army in order to put an end to the catastrophe.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887737">
    <w:multiLevelType w:val="hybridMultilevel"/>
    <w:lvl w:ilvl="0" w:tplc="203903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887737">
    <w:abstractNumId w:val="798877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14729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