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ANITA MARIANN</w:t>
            </w:r>
          </w:p>
          <w:p w:rsidR="00C275A3" w:rsidRDefault="00A96AEC" w:rsidP="00C275A3">
            <w:pPr>
              <w:pStyle w:val="Hallgatokepzes"/>
            </w:pPr>
            <w:r>
              <w:t>klasszikus-furulya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Széplaki Zoltán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népzene és a műzene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témájául a népzene és a műzene kapcsolatának elemzését választottam.</w:t>
      </w:r>
      <w:r>
        <w:rPr>
          <w:color w:val="000000"/>
          <w:sz w:val="24"/>
          <w:szCs w:val="24"/>
        </w:rPr>
        <w:br/>
        <w:t xml:space="preserve">Meglehetősen kiterjedt témáról van szó, mind az időegységet, mind az irodalmat tekintve. Emiatt döntöttem úgy, hogy a 17. századra koncentrálok. Egészen pontosan szeretném nagyító alá helyezni a Starck Virginál könyvet, s egy abban található általam kiválasztott, feltehetően népi eredetű táncdallamot.</w:t>
      </w:r>
      <w:r>
        <w:rPr>
          <w:color w:val="000000"/>
          <w:sz w:val="24"/>
          <w:szCs w:val="24"/>
        </w:rPr>
        <w:br/>
        <w:t xml:space="preserve">A népzene és a műzene szinte elválaszthatatlan egységet alkot, hisz egészen korai idők óta találkozhatunk ismerős műzenei dallamokkal pl. a csángók népdalai között és fordítva. Ennek pontosabb feltárására és megvizsgálására készülök a hangszeres zene szempontjából. E mellett pedig megvizsgálom a népi és klasszikus furulya felépítését, különbségeit, és hasonlóságait.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97762">
    <w:multiLevelType w:val="hybridMultilevel"/>
    <w:lvl w:ilvl="0" w:tplc="14144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97762">
    <w:abstractNumId w:val="48597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895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