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ÉVA</w:t>
            </w:r>
          </w:p>
          <w:p w:rsidR="00C275A3" w:rsidRDefault="00A96AEC" w:rsidP="00C275A3">
            <w:pPr>
              <w:pStyle w:val="Hallgatokepzes"/>
            </w:pPr>
            <w:r>
              <w:t>zongoraművész</w:t>
            </w:r>
            <w:r>
              <w:br/>
            </w:r>
            <w:r w:rsidR="00E77B23">
              <w:t>MA, 3.  félév</w:t>
            </w:r>
          </w:p>
          <w:p w:rsidR="00C265CE" w:rsidRPr="009E5FF1" w:rsidRDefault="00E77B23" w:rsidP="00C275A3">
            <w:pPr>
              <w:pStyle w:val="Hallgatokepzes"/>
              <w:rPr>
                <w:b/>
                <w:caps/>
              </w:rPr>
            </w:pPr>
            <w:r>
              <w:t>Szegedi Tudományegyetem</w:t>
            </w:r>
            <w:r w:rsidR="00C275A3">
              <w:br/>
            </w:r>
            <w:r w:rsidR="00DB4822">
              <w:t>Zeneművészeti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Újváriné Illés Mária</w:t>
            </w:r>
          </w:p>
          <w:p w:rsidR="00DB4822" w:rsidRDefault="00DB4822" w:rsidP="00E11062">
            <w:pPr>
              <w:pStyle w:val="Konzulensek"/>
            </w:pPr>
            <w:r w:rsidRPr="00DB4822">
              <w:t>adjunktus,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 párhuzamosok találkozása – Fanny Mendelssohn és Clara Schumann</w:t>
      </w:r>
    </w:p>
    <w:p w:rsidR="00D71DF5" w:rsidRDefault="00D71DF5" w:rsidP="00AD2602">
      <w:pPr>
        <w:jc w:val="both"/>
      </w:pPr>
    </w:p>
    <w:p>
      <w:pPr>
        <w:pBdr/>
        <w:spacing w:before="240" w:after="240" w:line="240" w:lineRule="auto"/>
        <w:ind w:left="0" w:right="0"/>
        <w:jc w:val="left"/>
      </w:pPr>
      <w:r>
        <w:rPr>
          <w:color w:val="000000"/>
          <w:sz w:val="24"/>
          <w:szCs w:val="24"/>
        </w:rPr>
        <w:t xml:space="preserve">A nem euklideszi geometria felfogása szerint a párhuzamosok – valahol nagyon messze – egy pontban találkoznak. Jelen esetben e két egyenes a 19. századi európai zeneművészet két meghatározó nőalakjának életútja. Fanny Mendelssohn és Clara Schumann személyisége és egyes életszakasza sok tekintetben közös jellemvonásokkal bír. De ki is volt Fanny Mendelssohn és ki Clara Schumann? Zongoraművész, komponista, kamaraművész, karnagy vagy karmester? Koncertszervező, zenei menedzser, egyfajta impresszárió? És miért lehetnek érdekesek napjainkban? Meggyőződésem, hogy e két művész életműve sokkal jelentősebb annál, ami egy mai muzsikus, vagy műkedvelő hagyományokon alapuló értékrendjében kirajzolódik. Dolgozatommal ezt a képzeletbeli űrt igyekszem néhány apró atommal kitölteni, a felmerült kérdésekre választ találni.</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drawing>
          <wp:inline distT="0" distB="0" distL="0" distR="0">
            <wp:extent cx="1756800" cy="2498400"/>
            <wp:docPr id="87488173" name="name150bbc3426cdb4" descr="1114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40_1.jpg"/>
                    <pic:cNvPicPr/>
                  </pic:nvPicPr>
                  <pic:blipFill>
                    <a:blip r:embed="rId150bbc3426cd77" cstate="print"/>
                    <a:stretch>
                      <a:fillRect/>
                    </a:stretch>
                  </pic:blipFill>
                  <pic:spPr>
                    <a:xfrm>
                      <a:off x="0" y="0"/>
                      <a:ext cx="1756800" cy="2498400"/>
                    </a:xfrm>
                    <a:prstGeom prst="rect">
                      <a:avLst/>
                    </a:prstGeom>
                    <a:ln w="0">
                      <a:noFill/>
                    </a:ln>
                  </pic:spPr>
                </pic:pic>
              </a:graphicData>
            </a:graphic>
          </wp:inline>
        </w:drawing>
      </w:r>
      <w:r>
        <w:rPr>
          <w:color w:val="000000"/>
          <w:sz w:val="24"/>
          <w:szCs w:val="24"/>
        </w:rPr>
        <w:t xml:space="preserve">                            </w:t>
      </w:r>
      <w:r>
        <w:rPr>
          <w:color w:val="000000"/>
          <w:sz w:val="24"/>
          <w:szCs w:val="24"/>
        </w:rPr>
        <w:drawing>
          <wp:inline distT="0" distB="0" distL="0" distR="0">
            <wp:extent cx="1821600" cy="2433600"/>
            <wp:docPr id="69343050" name="name150bbc3426d186" descr="1114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40_2.png"/>
                    <pic:cNvPicPr/>
                  </pic:nvPicPr>
                  <pic:blipFill>
                    <a:blip r:embed="rId150bbc3426d14a" cstate="print"/>
                    <a:stretch>
                      <a:fillRect/>
                    </a:stretch>
                  </pic:blipFill>
                  <pic:spPr>
                    <a:xfrm>
                      <a:off x="0" y="0"/>
                      <a:ext cx="1821600" cy="2433600"/>
                    </a:xfrm>
                    <a:prstGeom prst="rect">
                      <a:avLst/>
                    </a:prstGeom>
                    <a:ln w="0">
                      <a:noFill/>
                    </a:ln>
                  </pic:spPr>
                </pic:pic>
              </a:graphicData>
            </a:graphic>
          </wp:inline>
        </w:drawing>
      </w: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51096">
    <w:multiLevelType w:val="hybridMultilevel"/>
    <w:lvl w:ilvl="0" w:tplc="89243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51096">
    <w:abstractNumId w:val="220510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4980209" Type="http://schemas.openxmlformats.org/officeDocument/2006/relationships/numbering" Target="numbering.xml"/><Relationship Id="rId150bbc3426cd77" Type="http://schemas.openxmlformats.org/officeDocument/2006/relationships/image" Target="media/imgrId150bbc3426cd77.jpg"/><Relationship Id="rId150bbc3426d14a" Type="http://schemas.openxmlformats.org/officeDocument/2006/relationships/image" Target="media/imgrId150bbc3426d14a.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