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BOGNÁR TÍMEA</w:t>
            </w:r>
          </w:p>
          <w:p w:rsidR="00C275A3" w:rsidRDefault="00A96AEC" w:rsidP="00C275A3">
            <w:pPr>
              <w:pStyle w:val="Hallgatokepzes"/>
            </w:pPr>
            <w:r>
              <w:t>állatorvos</w:t>
            </w:r>
            <w:r>
              <w:br/>
            </w:r>
            <w:r w:rsidR="00E77B23">
              <w:t>Osztatlan, 9.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Szent István Egyetem</w:t>
            </w:r>
            <w:r w:rsidR="00C275A3">
              <w:br/>
            </w:r>
            <w:r w:rsidR="00DB4822">
              <w:t>Állatorvos-tudományi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Jerzsele Ákos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SZIE ÁOTK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Kutya és macska dermatitis, illetve otitis externa eseteiből izolált Staphylococcus spp., Streptococcus spp., továbbá Pseudomonas aeruginosa törzsek érzékenysége gentamicinre, marbofloxacinra, valamint ezek kombinációjára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Kutyáknál és macskáknál gyakran diagnosztizált betegségek az otitis externa és a pyoderma,</w:t>
      </w:r>
      <w:r>
        <w:rPr>
          <w:color w:val="000000"/>
          <w:sz w:val="24"/>
          <w:szCs w:val="24"/>
        </w:rPr>
        <w:br/>
        <w:t xml:space="preserve">amelyek nemegyszer hosszú távú antibakteriális kezelést igényelnek. Ennek során nagy</w:t>
      </w:r>
      <w:r>
        <w:rPr>
          <w:color w:val="000000"/>
          <w:sz w:val="24"/>
          <w:szCs w:val="24"/>
        </w:rPr>
        <w:br/>
        <w:t xml:space="preserve">eséllyel alakul ki rezisztencia a kórokozókban, melyet többek között a különböző</w:t>
      </w:r>
      <w:r>
        <w:rPr>
          <w:color w:val="000000"/>
          <w:sz w:val="24"/>
          <w:szCs w:val="24"/>
        </w:rPr>
        <w:br/>
        <w:t xml:space="preserve">antibiotikumok kombinációban való alkalmazásával csökkenthetünk. A fenti kórképek</w:t>
      </w:r>
      <w:r>
        <w:rPr>
          <w:color w:val="000000"/>
          <w:sz w:val="24"/>
          <w:szCs w:val="24"/>
        </w:rPr>
        <w:br/>
        <w:t xml:space="preserve">általában összetett kóroktanúak, a kitenyésztett baktériumok legtöbbször a Staphylococcus, a</w:t>
      </w:r>
      <w:r>
        <w:rPr>
          <w:color w:val="000000"/>
          <w:sz w:val="24"/>
          <w:szCs w:val="24"/>
        </w:rPr>
        <w:br/>
        <w:t xml:space="preserve">Streptococcus, valamint a Pseudomonas genusból kerülnek ki.</w:t>
      </w:r>
      <w:r>
        <w:rPr>
          <w:color w:val="000000"/>
          <w:sz w:val="24"/>
          <w:szCs w:val="24"/>
        </w:rPr>
        <w:br/>
        <w:t xml:space="preserve">Tanulmányunkban két gyakran alkalmazott antibakteriális szer, a gentamicin és a</w:t>
      </w:r>
      <w:r>
        <w:rPr>
          <w:color w:val="000000"/>
          <w:sz w:val="24"/>
          <w:szCs w:val="24"/>
        </w:rPr>
        <w:br/>
        <w:t xml:space="preserve">marbofloxacin, valamint ezek kombinációinak in vitro aktivitását vizsgáltuk Staphylococcus</w:t>
      </w:r>
      <w:r>
        <w:rPr>
          <w:color w:val="000000"/>
          <w:sz w:val="24"/>
          <w:szCs w:val="24"/>
        </w:rPr>
        <w:br/>
        <w:t xml:space="preserve">intermedius és Staphylococcus aureus, Streptococcus canis valamint Pseudomonas</w:t>
      </w:r>
      <w:r>
        <w:rPr>
          <w:color w:val="000000"/>
          <w:sz w:val="24"/>
          <w:szCs w:val="24"/>
        </w:rPr>
        <w:br/>
        <w:t xml:space="preserve">aeruginosa törzseken. Munkánk során Magyarországon gyűjtött, kutya és macska fülből,</w:t>
      </w:r>
      <w:r>
        <w:rPr>
          <w:color w:val="000000"/>
          <w:sz w:val="24"/>
          <w:szCs w:val="24"/>
        </w:rPr>
        <w:br/>
        <w:t xml:space="preserve">illetve bőrről izolált törzseket használtunk fel, 129 S. intermedius törzset – ebből 110 kutyából</w:t>
      </w:r>
      <w:r>
        <w:rPr>
          <w:color w:val="000000"/>
          <w:sz w:val="24"/>
          <w:szCs w:val="24"/>
        </w:rPr>
        <w:br/>
        <w:t xml:space="preserve">és 19 macskából származott –, kettő kutya és 4 macska eredetű S. aureus, 38 kutya eredetű és</w:t>
      </w:r>
      <w:r>
        <w:rPr>
          <w:color w:val="000000"/>
          <w:sz w:val="24"/>
          <w:szCs w:val="24"/>
        </w:rPr>
        <w:br/>
        <w:t xml:space="preserve">5 macska eredetű S. canis mintát, továbbá 56 P. aeruginosa törzset, melyből 52 kutyából és 4</w:t>
      </w:r>
      <w:r>
        <w:rPr>
          <w:color w:val="000000"/>
          <w:sz w:val="24"/>
          <w:szCs w:val="24"/>
        </w:rPr>
        <w:br/>
        <w:t xml:space="preserve">macskából származott. A MIC-értékek meghatározásához mikrodilúciós módszert</w:t>
      </w:r>
      <w:r>
        <w:rPr>
          <w:color w:val="000000"/>
          <w:sz w:val="24"/>
          <w:szCs w:val="24"/>
        </w:rPr>
        <w:br/>
        <w:t xml:space="preserve">alkalmaztunk a CLSI ajánlásának megfelelően. Gentamicin esetében a MIC50 értékek 0,125</w:t>
      </w:r>
      <w:r>
        <w:rPr>
          <w:color w:val="000000"/>
          <w:sz w:val="24"/>
          <w:szCs w:val="24"/>
        </w:rPr>
        <w:br/>
        <w:t xml:space="preserve">µg/ml és 16 µg/ml, míg a MIC90 értékek 1-16 µg/ml között mozogtak. Ezen értékek</w:t>
      </w:r>
      <w:r>
        <w:rPr>
          <w:color w:val="000000"/>
          <w:sz w:val="24"/>
          <w:szCs w:val="24"/>
        </w:rPr>
        <w:br/>
        <w:t xml:space="preserve">marbofloxacin vizsgálatakor 0,125-2 µg/ml, valamint 0,25-8 µg/ml voltak. A</w:t>
      </w:r>
      <w:r>
        <w:rPr>
          <w:color w:val="000000"/>
          <w:sz w:val="24"/>
          <w:szCs w:val="24"/>
        </w:rPr>
        <w:br/>
        <w:t xml:space="preserve">marbofloxacin-gentamicin kombinációk 1:1 arányú elegye bizonyult a leghatásosabbnak.</w:t>
      </w:r>
      <w:r>
        <w:rPr>
          <w:color w:val="000000"/>
          <w:sz w:val="24"/>
          <w:szCs w:val="24"/>
        </w:rPr>
        <w:br/>
        <w:t xml:space="preserve">MIC50 értékei 0,125 µg/ml és 2 µg/ml, a MIC90 értékek pedig 0,25 µg/ml és 2 µg/ml között</w:t>
      </w:r>
      <w:r>
        <w:rPr>
          <w:color w:val="000000"/>
          <w:sz w:val="24"/>
          <w:szCs w:val="24"/>
        </w:rPr>
        <w:br/>
        <w:t xml:space="preserve">változtak. Staphylococcusok esetében a kombináció 83,7%-ban additív interakciót mutatott,</w:t>
      </w:r>
      <w:r>
        <w:rPr>
          <w:color w:val="000000"/>
          <w:sz w:val="24"/>
          <w:szCs w:val="24"/>
        </w:rPr>
        <w:br/>
        <w:t xml:space="preserve">11,1%-ban szinergizmust, 5,2%-ban pedig antagonizmust.Streptococcus</w:t>
      </w:r>
      <w:r>
        <w:rPr>
          <w:color w:val="000000"/>
          <w:sz w:val="24"/>
          <w:szCs w:val="24"/>
        </w:rPr>
        <w:br/>
        <w:t xml:space="preserve">canis esetében a kombináció 79,1 %-ban additívnak, 16,3 %-ban szinergistának, 4,6%-ban</w:t>
      </w:r>
      <w:r>
        <w:rPr>
          <w:color w:val="000000"/>
          <w:sz w:val="24"/>
          <w:szCs w:val="24"/>
        </w:rPr>
        <w:br/>
        <w:t xml:space="preserve">antagonistának bizonyult, mindössze 9,3 %-ban tapasztaltunk rezisztenciát. Pseudomonas</w:t>
      </w:r>
      <w:r>
        <w:rPr>
          <w:color w:val="000000"/>
          <w:sz w:val="24"/>
          <w:szCs w:val="24"/>
        </w:rPr>
        <w:br/>
        <w:t xml:space="preserve">aeruginosa esetében 73,2%-ban szinergizmust, 23,2%-ban additív, 3,6%-ban antagonista</w:t>
      </w:r>
      <w:r>
        <w:rPr>
          <w:color w:val="000000"/>
          <w:sz w:val="24"/>
          <w:szCs w:val="24"/>
        </w:rPr>
        <w:br/>
        <w:t xml:space="preserve">hatást mutattunk ki. A törzseknek csak 1,8%-a bizonyult rezisztensnek a kombinációra.</w:t>
      </w:r>
      <w:r>
        <w:rPr>
          <w:color w:val="000000"/>
          <w:sz w:val="24"/>
          <w:szCs w:val="24"/>
        </w:rPr>
        <w:br/>
        <w:t xml:space="preserve">Eredményeink alapján a marbofloxacin-gentamicin 1:1 arányú kombinációja hatásosnak</w:t>
      </w:r>
      <w:r>
        <w:rPr>
          <w:color w:val="000000"/>
          <w:sz w:val="24"/>
          <w:szCs w:val="24"/>
        </w:rPr>
        <w:br/>
        <w:t xml:space="preserve">ígérkezik otitis externa, illetve bőrfertőzések kezelésében, kiemelten a P.aeruginosa ellen35</w:t>
      </w:r>
      <w:r>
        <w:rPr>
          <w:color w:val="000000"/>
          <w:sz w:val="24"/>
          <w:szCs w:val="24"/>
        </w:rPr>
        <w:br/>
        <w:t xml:space="preserve">irányuló terápiában. A kombináció növelte az érzékeny, és csökkentette a mérsékelten érzékeny és rezisztens P. aeruginosa törzsek arányát a két szer önálló alkalmazásához képest.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917533">
    <w:multiLevelType w:val="hybridMultilevel"/>
    <w:lvl w:ilvl="0" w:tplc="7091498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917533">
    <w:abstractNumId w:val="7491753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952509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