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TIMEA BOGNAR</w:t>
            </w:r>
          </w:p>
          <w:p w:rsidR="00C275A3" w:rsidRDefault="00A96AEC" w:rsidP="00C275A3">
            <w:pPr>
              <w:pStyle w:val="Hallgatokepzes"/>
            </w:pPr>
            <w:r>
              <w:t>veterinary</w:t>
            </w:r>
            <w:r>
              <w:br/>
            </w:r>
            <w:r w:rsidR="00E77B23">
              <w:t>Unified, 9.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Szent István University</w:t>
            </w:r>
            <w:r w:rsidR="00C275A3">
              <w:br/>
            </w:r>
            <w:r w:rsidR="00DB4822">
              <w:t>Faculty of Veterinary Science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Akos Jerzsele</w:t>
            </w:r>
          </w:p>
          <w:p w:rsidR="00DB4822" w:rsidRDefault="00DB4822" w:rsidP="00E11062">
            <w:pPr>
              <w:pStyle w:val="Konzulensek"/>
            </w:pPr>
            <w:r w:rsidRPr="00DB4822">
              <w:t>assistant lecturer, SZIE ÁOTK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Activity of gentamicin, marbofloxacin and the combination of these antibacterial agents against Staphylococcus spp., Streptococcus spp. and Pseudomonas aeruginosa strains isolated from canine and feline otitis externa and pyoderma 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Long term treatment in recurrent dermatological cases increases the incidence of resistance</w:t>
      </w:r>
      <w:r>
        <w:rPr>
          <w:color w:val="000000"/>
          <w:sz w:val="24"/>
          <w:szCs w:val="24"/>
        </w:rPr>
        <w:br/>
        <w:t xml:space="preserve">development in bacteria. Combination of different classes of antimicrobials helps fighting</w:t>
      </w:r>
      <w:r>
        <w:rPr>
          <w:color w:val="000000"/>
          <w:sz w:val="24"/>
          <w:szCs w:val="24"/>
        </w:rPr>
        <w:br/>
        <w:t xml:space="preserve">against the emergence of resistant strains. Pyoderma and otitis externa are common diseases</w:t>
      </w:r>
      <w:r>
        <w:rPr>
          <w:color w:val="000000"/>
          <w:sz w:val="24"/>
          <w:szCs w:val="24"/>
        </w:rPr>
        <w:br/>
        <w:t xml:space="preserve">in dogs and cats. These diseases have a multifactorial aetiology, while the most</w:t>
      </w:r>
      <w:r>
        <w:rPr>
          <w:color w:val="000000"/>
          <w:sz w:val="24"/>
          <w:szCs w:val="24"/>
        </w:rPr>
        <w:br/>
        <w:t xml:space="preserve">frequently isolated bacteria are staphylococci, streptococci and Pseudomonas aeruginosa.</w:t>
      </w:r>
      <w:r>
        <w:rPr>
          <w:color w:val="000000"/>
          <w:sz w:val="24"/>
          <w:szCs w:val="24"/>
        </w:rPr>
        <w:br/>
        <w:t xml:space="preserve">The aim of this study was to evaluate the in vitro activity of gentamicin, marbofloxacin and</w:t>
      </w:r>
      <w:r>
        <w:rPr>
          <w:color w:val="000000"/>
          <w:sz w:val="24"/>
          <w:szCs w:val="24"/>
        </w:rPr>
        <w:br/>
        <w:t xml:space="preserve">the combination of these antibacterial agents against bacteria from canine and feline external</w:t>
      </w:r>
      <w:r>
        <w:rPr>
          <w:color w:val="000000"/>
          <w:sz w:val="24"/>
          <w:szCs w:val="24"/>
        </w:rPr>
        <w:br/>
        <w:t xml:space="preserve">ear and skin infections isolated in Hungary. In this study 129 strains of Staphylococcus</w:t>
      </w:r>
      <w:r>
        <w:rPr>
          <w:color w:val="000000"/>
          <w:sz w:val="24"/>
          <w:szCs w:val="24"/>
        </w:rPr>
        <w:br/>
        <w:t xml:space="preserve">intermedius (110 canine and 19 feline isolates) , 6 strains of S.aureus (2 canine and 4 feline</w:t>
      </w:r>
      <w:r>
        <w:rPr>
          <w:color w:val="000000"/>
          <w:sz w:val="24"/>
          <w:szCs w:val="24"/>
        </w:rPr>
        <w:br/>
        <w:t xml:space="preserve">strains), 43 strains of Streptococcus canis (38 canine and 5 feline isolates) and 56 strains of</w:t>
      </w:r>
      <w:r>
        <w:rPr>
          <w:color w:val="000000"/>
          <w:sz w:val="24"/>
          <w:szCs w:val="24"/>
        </w:rPr>
        <w:br/>
        <w:t xml:space="preserve">Pseudomonas aeruginosa (52 canine and 4 feline isolates) were investigated.To determinate the MIC (minimum inhibitory concentration) values broth microdilution</w:t>
      </w:r>
      <w:r>
        <w:rPr>
          <w:color w:val="000000"/>
          <w:sz w:val="24"/>
          <w:szCs w:val="24"/>
        </w:rPr>
        <w:br/>
        <w:t xml:space="preserve">method was used according to CLSI (Committee of Laboratory Standards Institute)</w:t>
      </w:r>
      <w:r>
        <w:rPr>
          <w:color w:val="000000"/>
          <w:sz w:val="24"/>
          <w:szCs w:val="24"/>
        </w:rPr>
        <w:br/>
        <w:t xml:space="preserve">recommendations. The MIC50 of gentamicin ranged from 0,125 to 16 µg/ml. MIC90 ranged</w:t>
      </w:r>
      <w:r>
        <w:rPr>
          <w:color w:val="000000"/>
          <w:sz w:val="24"/>
          <w:szCs w:val="24"/>
        </w:rPr>
        <w:br/>
        <w:t xml:space="preserve">from 1 to 16 µg/ml. In case of marbofloxacin MIC50 was between 0,125 and 2 µg/ml, MIC90</w:t>
      </w:r>
      <w:r>
        <w:rPr>
          <w:color w:val="000000"/>
          <w:sz w:val="24"/>
          <w:szCs w:val="24"/>
        </w:rPr>
        <w:br/>
        <w:t xml:space="preserve">was found between 0,25-8 µg/ml. The most effective ratio of marbofloxacin and gentamicin was</w:t>
      </w:r>
      <w:r>
        <w:rPr>
          <w:color w:val="000000"/>
          <w:sz w:val="24"/>
          <w:szCs w:val="24"/>
        </w:rPr>
        <w:br/>
        <w:t xml:space="preserve">1:1, MIC50 for the combination was 0,125-2 µg/ml, while MIC90 ranged from 0,25 to 2 µg/ml.</w:t>
      </w:r>
      <w:r>
        <w:rPr>
          <w:color w:val="000000"/>
          <w:sz w:val="24"/>
          <w:szCs w:val="24"/>
        </w:rPr>
        <w:br/>
        <w:t xml:space="preserve">In case of staphylococci the combination showed 83.7% additive effect, 11,1% synergism and</w:t>
      </w:r>
      <w:r>
        <w:rPr>
          <w:color w:val="000000"/>
          <w:sz w:val="24"/>
          <w:szCs w:val="24"/>
        </w:rPr>
        <w:br/>
        <w:t xml:space="preserve">5.2% antagonistic effect. The combination represented 79.1% additive influence,</w:t>
      </w:r>
      <w:r>
        <w:rPr>
          <w:color w:val="000000"/>
          <w:sz w:val="24"/>
          <w:szCs w:val="24"/>
        </w:rPr>
        <w:br/>
        <w:t xml:space="preserve">16.3% synergism and 4.6% antagonistic effect against Streptococcus canis strains. Four</w:t>
      </w:r>
      <w:r>
        <w:rPr>
          <w:color w:val="000000"/>
          <w:sz w:val="24"/>
          <w:szCs w:val="24"/>
        </w:rPr>
        <w:br/>
        <w:t xml:space="preserve">strains (9.3%) proved to be resistant to the combination. Against Pseudomonas aeruginosa isolates gentamicin and marbofloxacin presented 73.2% synergism, 23.2% additive and 3.6%</w:t>
      </w:r>
      <w:r>
        <w:rPr>
          <w:color w:val="000000"/>
          <w:sz w:val="24"/>
          <w:szCs w:val="24"/>
        </w:rPr>
        <w:br/>
        <w:t xml:space="preserve">antagonistic effect. Only 1,8% of the strains proved to be resistant.</w:t>
      </w:r>
      <w:r>
        <w:rPr>
          <w:color w:val="000000"/>
          <w:sz w:val="24"/>
          <w:szCs w:val="24"/>
        </w:rPr>
        <w:br/>
        <w:t xml:space="preserve">Based on our results it can be stated that the 1:1 ratio of marbofloxacin and gentamicin have</w:t>
      </w:r>
      <w:r>
        <w:rPr>
          <w:color w:val="000000"/>
          <w:sz w:val="24"/>
          <w:szCs w:val="24"/>
        </w:rPr>
        <w:br/>
        <w:t xml:space="preserve">excellent activity against the most common bacteria from dermal and external ear infections of dogs</w:t>
      </w:r>
      <w:r>
        <w:rPr>
          <w:color w:val="000000"/>
          <w:sz w:val="24"/>
          <w:szCs w:val="24"/>
        </w:rPr>
        <w:br/>
        <w:t xml:space="preserve">and cats, especially Pseudomonas aeruginosa. The combination increased the ratio of</w:t>
      </w:r>
      <w:r>
        <w:rPr>
          <w:color w:val="000000"/>
          <w:sz w:val="24"/>
          <w:szCs w:val="24"/>
        </w:rPr>
        <w:br/>
        <w:t xml:space="preserve">susceptible bacteria and reduced the ratio of moderately susceptible and resistant strains to the</w:t>
      </w:r>
      <w:r>
        <w:rPr>
          <w:color w:val="000000"/>
          <w:sz w:val="24"/>
          <w:szCs w:val="24"/>
        </w:rPr>
        <w:br/>
        <w:t xml:space="preserve">individual substances.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8957729">
    <w:multiLevelType w:val="hybridMultilevel"/>
    <w:lvl w:ilvl="0" w:tplc="1055217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8957729">
    <w:abstractNumId w:val="9895772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6743211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