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WLADÁR</w:t>
            </w:r>
          </w:p>
          <w:p w:rsidR="00C275A3" w:rsidRDefault="00A96AEC" w:rsidP="00C275A3">
            <w:pPr>
              <w:pStyle w:val="Hallgatokepzes"/>
            </w:pPr>
            <w:r>
              <w:t>Veterinary</w:t>
            </w:r>
            <w:r>
              <w:br/>
            </w:r>
            <w:r w:rsidR="00E77B23">
              <w:t>Unified, 8.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Cságola</w:t>
            </w:r>
          </w:p>
          <w:p w:rsidR="00DB4822" w:rsidRDefault="00DB4822" w:rsidP="00E11062">
            <w:pPr>
              <w:pStyle w:val="Konzulensek"/>
            </w:pPr>
            <w:r w:rsidRPr="00DB4822">
              <w:t>research fellow, SZIE ÁOTK</w:t>
            </w:r>
          </w:p>
        </w:tc>
      </w:tr>
      <w:tr w:rsidR="00DB4822" w:rsidTr="00DB4822">
        <w:tc>
          <w:tcPr>
            <w:tcW w:w="9854" w:type="dxa"/>
          </w:tcPr>
          <w:p w:rsidR="00DB4822" w:rsidRPr="00DB4822" w:rsidRDefault="00DB4822" w:rsidP="004D7940">
            <w:pPr>
              <w:pStyle w:val="Konzulensek"/>
            </w:pPr>
            <w:r w:rsidRPr="00DB4822">
              <w:t>Dr. Tamás Tuboly</w:t>
            </w:r>
          </w:p>
          <w:p w:rsidR="00DB4822" w:rsidRDefault="00DB4822" w:rsidP="00E11062">
            <w:pPr>
              <w:pStyle w:val="Konzulensek"/>
            </w:pPr>
            <w:r w:rsidRPr="00DB4822">
              <w:t>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Prevalence and genetic diversity of pigeon circoviruses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we still lack documented results of surveys about the prevalence of pigeon circovirus (PiCV) infections from around the world but when such tests were performed data indicated 80-100% positivity of individual flocks. The significance of the infection can only be estimated as although the infection is usually characterized by mild clinical symptoms with no specific clinical appearance, the damage of the immune system is indirectly responsible for severe health problems and even the death of the pigeons. This is especially true for pigeons below 1 year of age where PiCV infection is considered as the most important factor in the development of the “young pigeon disease syndrome”. Birds of older age are usually less affected, but the infection may become of high importance when other predisposing factors are present. Consequently, PiCV infections have significant impact on the general health status and the production or performance of meat producing or racing pigeon flocks.</w:t>
      </w:r>
    </w:p>
    <w:p>
      <w:pPr>
        <w:widowControl w:val="on"/>
        <w:pBdr/>
        <w:spacing w:before="240" w:after="240" w:line="240" w:lineRule="auto"/>
        <w:ind w:left="0" w:right="0"/>
        <w:jc w:val="left"/>
      </w:pPr>
      <w:r>
        <w:rPr>
          <w:color w:val="000000"/>
          <w:sz w:val="24"/>
          <w:szCs w:val="24"/>
        </w:rPr>
        <w:t xml:space="preserve">PiCV is a single stranded DNA virus, without an envelope around the icosahedral capsid. Previous studies indicated that although PiCV is a DNA virus still it is among the most variable viruses. The genome has two major open reading frames (ORF), ORF1 is responsible for coding the replication associated protein and it is significantly more conservative than ORF2, which encodes the only structural protein. From research and diagnostic points of view ORF1 has a primary role in molecular diagnostics, while sequence analysis of ORF2 helps to monitor the variability of the virus and also the production of vaccines.</w:t>
      </w:r>
    </w:p>
    <w:p>
      <w:pPr>
        <w:widowControl w:val="on"/>
        <w:pBdr/>
        <w:spacing w:before="240" w:after="240" w:line="240" w:lineRule="auto"/>
        <w:ind w:left="0" w:right="0"/>
        <w:jc w:val="left"/>
      </w:pPr>
      <w:r>
        <w:rPr>
          <w:color w:val="000000"/>
          <w:sz w:val="24"/>
          <w:szCs w:val="24"/>
        </w:rPr>
        <w:t xml:space="preserve">The primary goals of our investigation were to examine the presence and prevalence of the PiCV in Hungary, analyze the genetic relations of the Hungarian virus population and those that already had been published, show whether there were any differences in the amino acid composition of the capsid proteins and to identify them. After a preliminary survey we focused primarily on the analysis of the ORF2 genes. As a result of the survey the presence of the PiCV was confirmed in Hungary and based on the sequence data PiCV could be grouped into 5 different phylogenetic groups. We found that the capsid proteins of individual groups showed significant sequence differences. We were first to detect that the variability of the PiCV capsids was not only the result of continuous point mutations but base triplet deletions/additions and recombinations were also responsible for the phenomenon.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27456">
    <w:multiLevelType w:val="hybridMultilevel"/>
    <w:lvl w:ilvl="0" w:tplc="79187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27456">
    <w:abstractNumId w:val="34527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88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