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KISS</w:t>
            </w:r>
          </w:p>
          <w:p w:rsidR="00C275A3" w:rsidRDefault="00A96AEC" w:rsidP="00C275A3">
            <w:pPr>
              <w:pStyle w:val="Hallgatokepzes"/>
            </w:pPr>
            <w:r>
              <w:t>Geological and Geophysical Engineer</w:t>
            </w:r>
            <w:r>
              <w:br/>
            </w:r>
            <w:r w:rsidR="00E77B23">
              <w:t>MSc, 1.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Mihály Dobróka</w:t>
            </w:r>
          </w:p>
          <w:p w:rsidR="00DB4822" w:rsidRDefault="00DB4822" w:rsidP="00E11062">
            <w:pPr>
              <w:pStyle w:val="Konzulensek"/>
            </w:pPr>
            <w:r w:rsidRPr="00DB4822">
              <w:t>professor,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rock compressibility in laboratory triaxial test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compaction caused by the changes in the effective stress as a result of production during fluid mining has significant consequences. In regard of the production and the costs it is important to know the effects of surface subsidence. Consideration of this factor is highly recommended in evaluation models of the area.</w:t>
      </w:r>
    </w:p>
    <w:p>
      <w:pPr>
        <w:pBdr/>
        <w:spacing w:before="240" w:after="240" w:line="240" w:lineRule="auto"/>
        <w:ind w:left="0" w:right="0"/>
        <w:jc w:val="left"/>
      </w:pPr>
      <w:r>
        <w:rPr>
          <w:color w:val="000000"/>
          <w:sz w:val="24"/>
          <w:szCs w:val="24"/>
        </w:rPr>
        <w:t xml:space="preserve">The compressibility of the rocks (C</w:t>
      </w:r>
      <w:r>
        <w:rPr>
          <w:color w:val="000000"/>
          <w:position w:val="-4"/>
          <w:sz w:val="21"/>
          <w:szCs w:val="21"/>
          <w:vertAlign w:val="subscript"/>
        </w:rPr>
        <w:t xml:space="preserve">b</w:t>
      </w:r>
      <w:r>
        <w:rPr>
          <w:color w:val="000000"/>
          <w:sz w:val="24"/>
          <w:szCs w:val="24"/>
        </w:rPr>
        <w:t xml:space="preserve"> – bulk compressibility) consists of the compressibility of matrix and the fluids which fill the pores between the grains. The scale of the matrix compressibility is neglected in literature and usually also in practice in contrast to the pore volume compressibility. Here I give a short overview of the ways of compressibility measurements in laboratory and introduce the applied method to determine the compressibility of sandstones.</w:t>
      </w:r>
    </w:p>
    <w:p>
      <w:pPr>
        <w:pBdr/>
        <w:spacing w:before="240" w:after="240" w:line="240" w:lineRule="auto"/>
        <w:ind w:left="0" w:right="0"/>
        <w:jc w:val="left"/>
      </w:pPr>
      <w:r>
        <w:rPr>
          <w:color w:val="000000"/>
          <w:sz w:val="24"/>
          <w:szCs w:val="24"/>
        </w:rPr>
        <w:t xml:space="preserve">These experiences were carried out in a high pressure triaxial cell as combination of two methods: changes in the state of triaxial stress with axial displacement alternated with pore pressure depletion. 15 sandstone samples of three different cores were examined in the Gesteinslabor Dr. Eberhard Jahns rock mechanical testing laboratory in Germany.</w:t>
      </w:r>
    </w:p>
    <w:p>
      <w:pPr>
        <w:pBdr/>
        <w:spacing w:before="240" w:after="240" w:line="240" w:lineRule="auto"/>
        <w:ind w:left="0" w:right="0"/>
        <w:jc w:val="left"/>
      </w:pPr>
      <w:r>
        <w:rPr>
          <w:color w:val="000000"/>
          <w:sz w:val="24"/>
          <w:szCs w:val="24"/>
        </w:rPr>
        <w:t xml:space="preserve">We evaluated the data in two ways. In the first case we neglected the matrix compressibility, in the second evaluation we took it into account. Our results show a good correlation to the literature data. It follows from the execution of the measurements and evaluations that this method simulates the reservoir conditions during depletion, gives the compressibility values with adequate accuracy and is also cost-saving.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808041">
    <w:multiLevelType w:val="hybridMultilevel"/>
    <w:lvl w:ilvl="0" w:tplc="516446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808041">
    <w:abstractNumId w:val="388080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10555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