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UJHÁZI LÁSZLÓ</w:t>
            </w:r>
          </w:p>
          <w:p w:rsidR="00C275A3" w:rsidRDefault="00A96AEC" w:rsidP="00C275A3">
            <w:pPr>
              <w:pStyle w:val="Hallgatokepzes"/>
            </w:pPr>
            <w:r>
              <w:t>Környezetmérnök</w:t>
            </w:r>
            <w:r>
              <w:br/>
            </w:r>
            <w:r w:rsidR="00E77B23">
              <w:t>BSc,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Műszaki Földtudományi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Gombkötő Imre</w:t>
            </w:r>
          </w:p>
          <w:p w:rsidR="00DB4822" w:rsidRDefault="00DB4822" w:rsidP="00E11062">
            <w:pPr>
              <w:pStyle w:val="Konzulensek"/>
            </w:pPr>
            <w:r w:rsidRPr="00DB4822">
              <w:t>docens, ME MFK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Öntészeti homok mechanikai regenerálásának kísérleti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öntészet egy olyan technológia, mely a megolvasztott fémeknek vagy ezek öntvényeinek formák segítségével való alakítását tárgyalja. Öntéssel változatos és bonyolult alakú fémtermékek állíthatók elő. Termékei például a robbanómotorok motorblokkjai, szivattyúházak, víz- és gázszelepek, fürdőkádak és ajtókilincsek lehetnek. Mivel az autógyártás egyik alkatrészét állítja elő, ezért világszerte, köztük hazánkban is fontos szerepet játszik. Az öntészet lényege, hogy elkészítenek egy olyan üreget, ami a munkadarab negatívját tartalmazza (ezt formának nevezik), az üregbe megolvasztott fémet öntenek, majd hagyják megdermedni. A formakészítés egyik technológiája az öntés homokformázással.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 során öntéses homokformázásból felhasznált mintákat regeneráltam. Ez a homok kötőanyagként műgyantát tartalmazott, abból a célból, hogy a homokforma szilárdságát fokozza. Ez az eljárás a vegyi kötésű homokformázás része. Ebben az esetben 2 százalék műgyantát adnak a homokhoz, a keményítést melegítéssel, vagy vegyi módszerekkel érik el. A műgyanta teljesen befedi az egyes homokszemcséket, ezért további felhasználásra nem javasolt, tisztításra szorul. A regenerálást mechanikai eljárásokkal vizsgáltam. A homokforma nagy szemcsemérettel rendelkezik (homokforma teljes méretével) ezért aprításra került, utána koptatással tisztítottam a szemcsékről a műgyantát, ezt pedig golyósmalom őrlésével sikerült elvégeznem. A mintát több szemcseméretű frakcióra osztályoztam, végül mikroszkóp segítségével analizáltam a tisztítás hatásfokát, sikerességét.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5224053">
    <w:multiLevelType w:val="hybridMultilevel"/>
    <w:lvl w:ilvl="0" w:tplc="5353804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5224053">
    <w:abstractNumId w:val="4522405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3887851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