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NAGY </w:t>
            </w:r>
          </w:p>
          <w:p w:rsidR="00C275A3" w:rsidRDefault="00A96AEC" w:rsidP="00C275A3">
            <w:pPr>
              <w:pStyle w:val="Hallgatokepzes"/>
            </w:pPr>
            <w:r>
              <w:t>International Studies (MA)</w:t>
            </w:r>
            <w:r>
              <w:br/>
            </w:r>
            <w:r w:rsidR="00E77B23">
              <w:t>MA, 4. semester</w:t>
            </w:r>
          </w:p>
          <w:p w:rsidR="00C265CE" w:rsidRPr="009E5FF1" w:rsidRDefault="00E77B23" w:rsidP="00C275A3">
            <w:pPr>
              <w:pStyle w:val="Hallgatokepzes"/>
              <w:rPr>
                <w:b/>
                <w:caps/>
              </w:rPr>
            </w:pPr>
            <w:r>
              <w:t>University of Pannonia</w:t>
            </w:r>
            <w:r w:rsidR="00C275A3">
              <w:br/>
            </w:r>
            <w:r w:rsidR="00DB4822">
              <w:t>Faculty of Modern Philology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Anna Molnár </w:t>
            </w:r>
          </w:p>
          <w:p w:rsidR="00DB4822" w:rsidRDefault="00DB4822" w:rsidP="00E11062">
            <w:pPr>
              <w:pStyle w:val="Konzulensek"/>
            </w:pPr>
            <w:r w:rsidRPr="00DB4822">
              <w:t>reader, PE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viable entity was born? - The changing of South Sudan's international position and the future of its independence in a comparative context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complexity of problems in South-Sudan plays a significant role nowadays and represents an actual discussion, which deals with the examination of the international relations. The country held a referendum in January 2011 about its independence from the whole Sudan’s supremacy. The event turned out to be not only valid but also effective, as a consequence the nation has the opportunity to rewrite its confused, bloody history.</w:t>
      </w:r>
    </w:p>
    <w:p>
      <w:pPr>
        <w:pBdr/>
        <w:spacing w:before="240" w:after="240" w:line="240" w:lineRule="auto"/>
        <w:ind w:left="0" w:right="0"/>
        <w:jc w:val="left"/>
      </w:pPr>
      <w:r>
        <w:rPr>
          <w:color w:val="000000"/>
          <w:sz w:val="24"/>
          <w:szCs w:val="24"/>
        </w:rPr>
        <w:t xml:space="preserve">The positive outcome became real after more than fifty years; the muslim-christian line – which can be connected to the events of the British colonization – was eliminated by the restructured borders.</w:t>
      </w:r>
    </w:p>
    <w:p>
      <w:pPr>
        <w:pBdr/>
        <w:spacing w:before="240" w:after="240" w:line="240" w:lineRule="auto"/>
        <w:ind w:left="0" w:right="0"/>
        <w:jc w:val="left"/>
      </w:pPr>
      <w:r>
        <w:rPr>
          <w:color w:val="000000"/>
          <w:sz w:val="24"/>
          <w:szCs w:val="24"/>
        </w:rPr>
        <w:t xml:space="preserve">The prerogatives and the british privileges gave grounds for such confrontation as the first Sudanese (1955-1972) or the second – much more cruel – Sudanese civil war (1983-2005). The Comprehensive Peace Agreement declared a 6 year-long interim period, which created the alternative of separation after the second Sudanese civil war.</w:t>
      </w:r>
    </w:p>
    <w:p>
      <w:pPr>
        <w:pBdr/>
        <w:spacing w:before="240" w:after="240" w:line="240" w:lineRule="auto"/>
        <w:ind w:left="0" w:right="0"/>
        <w:jc w:val="left"/>
      </w:pPr>
      <w:r>
        <w:rPr>
          <w:color w:val="000000"/>
          <w:sz w:val="24"/>
          <w:szCs w:val="24"/>
        </w:rPr>
        <w:t xml:space="preserve">Summarizing the above mentioned, South-Sudan became an independent entity but its economic-political and social situation is critical. The launch of a conjuncture with international support is not an impossible mission at all if we take into consideration Kosovo’s positive example. This southern micro area is in this aspect embedded in the international relations’ macrostructure, along futher discussions, whose two relevant participants are the United States, with its stategic, middle-eastern activity, and China, as the biggest oil exploiting partner. As a conclusion we could claim, that South-Sudan can easily become a clashing zone, or bastion of a „Cold War” between China and the United States.</w:t>
      </w:r>
    </w:p>
    <w:p>
      <w:pPr>
        <w:pBdr/>
        <w:spacing w:before="240" w:after="240" w:line="240" w:lineRule="auto"/>
        <w:ind w:left="0" w:right="0"/>
        <w:jc w:val="left"/>
      </w:pPr>
      <w:r>
        <w:rPr>
          <w:color w:val="000000"/>
          <w:sz w:val="24"/>
          <w:szCs w:val="24"/>
        </w:rPr>
        <w:t xml:space="preserve">The marginalized situation of this state put the newly born state-structure in point of interests, which is not so effective on a global level, but has a big influence on Africa’s international power of balance. As a relatively weak nation it can easily become one of the failed states, however, it is unlikely due to the presence of foreign support. The most important question, and the presence of foreign influence is the escalation of the uncontrolled terrorism, it’s prevention is crucial. Evaluation of the future situation is rather early. The question of further steps and the change of the country’s position can be the starting-point of a new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697235">
    <w:multiLevelType w:val="hybridMultilevel"/>
    <w:lvl w:ilvl="0" w:tplc="220573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697235">
    <w:abstractNumId w:val="296972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34139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