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KESERŰ BARNA ARNOLD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Szalai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felszólalás intézménye és gyakorlati tapasztalatai a hazai védjegyeljárásban, különös tekintettel egyes külföldi megoldásokra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védjegy az árujelzők legfontosabb fajtája. A védjegy mint árujelző az egyes áruk és szolgáltatások azonosítására, egymástól való megkülönböztetésére, a fogyasztók tájékozódásának előmozdítására szolgál. Mindennapjaink ma már elképzelhetetlenek védjegyek nélkül, mint ahogy a gazdasági verseny sem alakulhatott volna ki és érvényesülhetne az alapvető versenyeszköznek számító védjegyek hiányában.</w:t>
      </w:r>
      <w:r>
        <w:rPr>
          <w:color w:val="000000"/>
          <w:sz w:val="24"/>
          <w:szCs w:val="24"/>
        </w:rPr>
        <w:br/>
        <w:t xml:space="preserve">A védjegybejelentések lajstromozása során tekintettel kell lenni olyan szempontokra, amelyek fennállta esetén semmiképpen sem megengedhető a lajstromozás, és tekintettel kell lenni olyan korábbi jogokra is, amelyeket sértene a lajstromba vétel ténye. Azt mondhatjuk, hogy e szempontokat a fejlett védjegyjogi kultúrák mindenütt figyelembe veszik, azonban arra nézve, hogy ezt milyen eljárás keretében teszik meg, már sokszínű és egymástól jelentősen eltérő megoldásokat találhatunk.</w:t>
      </w:r>
      <w:r>
        <w:rPr>
          <w:color w:val="000000"/>
          <w:sz w:val="24"/>
          <w:szCs w:val="24"/>
        </w:rPr>
        <w:br/>
        <w:t xml:space="preserve">A hazai védjegyjogunk 2003-ban bekövetkezett fordulatával bevezetésre került a felszólalás intézménye a korábbi jogok érvényesítése érdekében. Figyelemmel arra, hogy korábban – a több mint 100 éves múltra visszatekintő – védjegyjogunk nem ismerte ezt az intézményt, mindenképpen érdekes és vizsgálatot érdemlő az a kérdés, hogy vajon hogyan is működik ez a rendszer, idegen jogintézményként mennyire tudott beilleszkedni védjegyjogunkba, milyen tapasztalatok halmozódtak fel a bevezetése óta eltelt nyolc esztendőben, és mik azok a problémák, amelyekre közvetlen jogszabályi rendelkezések hiányában a gyakorlat adott választ.</w:t>
      </w:r>
      <w:r>
        <w:rPr>
          <w:color w:val="000000"/>
          <w:sz w:val="24"/>
          <w:szCs w:val="24"/>
        </w:rPr>
        <w:br/>
        <w:t xml:space="preserve">A dolgozat célja, hogy ezekre a kérdésekre válaszolva egy egységes képet fessen a védjegyügyekben történő felszólalásról. A tanulmány második felében egyes fontosabb külföldi jogrendszereket veszek szemügyre, és az azokban alkalmazott korábbi jogokra vonatkozó és azok érvényesítését célzó jogintézmények legfontosabb momentumait ismertetem, hogy az Olvasó összehasonlítást kaphasson a hazai és a világ egyéb országainak megoldásairól.</w:t>
      </w:r>
      <w:r>
        <w:rPr>
          <w:color w:val="000000"/>
          <w:sz w:val="24"/>
          <w:szCs w:val="24"/>
        </w:rPr>
        <w:br/>
        <w:t xml:space="preserve">A dolgozatban részletesen kifejtettek alapján elmondható, hogy mind technikai okok, mind jogpolitikai indokok, mind pedig a nemzetközi jogfejlesztési tendenciák indokolttá tették, hogy hazánkban is bevezetésre kerüljön a felszólalás intézménye. A tanulmányban bemutatott országok is azt támasztják alá, hogy egységes európai irányvonalat képez a korábbi jogok felszólalás útján történő érvényesítésének gondolata, s folyamatosan adoptálják ezt a rendszert azon országok is, amelyektől korábban ez idegen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96265">
    <w:multiLevelType w:val="hybridMultilevel"/>
    <w:lvl w:ilvl="0" w:tplc="36335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96265">
    <w:abstractNumId w:val="885962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6541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