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DR. BARNA ARNOLD KESERŰ</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Szalai</w:t>
            </w:r>
          </w:p>
          <w:p w:rsidR="00DB4822" w:rsidRDefault="00DB4822" w:rsidP="00E11062">
            <w:pPr>
              <w:pStyle w:val="Konzulensek"/>
            </w:pPr>
            <w:r w:rsidRPr="00DB4822">
              <w:t>assistant professor,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opposition and its practical experiences in the domestic trademark procedures, with special regard to some foreign solutions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most important type of the indications of goods is the trademark. The trademark as an indication aims to identify certain goods and services, to distinguish them from each other and to promote the consumers orientation. Our daily life is now unthinkable without brand names, and the economic competition couldn’t have developed and couldn’t prevail without the trademarks, as the fundamentals of competition.</w:t>
      </w:r>
      <w:r>
        <w:rPr>
          <w:color w:val="000000"/>
          <w:sz w:val="24"/>
          <w:szCs w:val="24"/>
        </w:rPr>
        <w:br/>
        <w:t xml:space="preserve">During the registration of an application we have to consider some aspects, which case it doesn’t permitted the registration, and account have to be taken of earlier rights, which would be infringed by the registration. We can say the advanced trademark laws in all cultures consider these aspects, however, the used procedures of it are very diversified and significantly different solution can be found.</w:t>
      </w:r>
      <w:r>
        <w:rPr>
          <w:color w:val="000000"/>
          <w:sz w:val="24"/>
          <w:szCs w:val="24"/>
        </w:rPr>
        <w:br/>
        <w:t xml:space="preserve">Big changes were occurred in the Hungarian trademark law in 2003, and one of them was the introducing the opposition to enforce the earlier rights. Considering that in the past - more than 100 years of history - our trademark law didn’t use the opposition, it is absolutely worthy to investigate the mechanisms of this system and to scrutinize how could this legal instrument fit into our law. Moreover it is an interesting question to analyze the accumulated experiences in the past eight years since the introduction of the opposition, and what are those problems, which are answered by the judicial practice because of the lack of direct legal rules.</w:t>
      </w:r>
      <w:r>
        <w:rPr>
          <w:color w:val="000000"/>
          <w:sz w:val="24"/>
          <w:szCs w:val="24"/>
        </w:rPr>
        <w:br/>
        <w:t xml:space="preserve">The study aims to answer these questions to paint a coherent picture about the opposition in trademark cases. In the second half of the study some major foreign legal system will be introduced, and I scrutinize within them the most important points of the enforcement of the earlier rights. So will be comparable the domestic and foreign solutions.</w:t>
      </w:r>
      <w:r>
        <w:rPr>
          <w:color w:val="000000"/>
          <w:sz w:val="24"/>
          <w:szCs w:val="24"/>
        </w:rPr>
        <w:br/>
        <w:t xml:space="preserve">On the basis of the detailed explanations of the study it can be concluded that technical reasons, reasons of legal policy and the tendencies of international development of law leaded to the introduction of the opposition in the Hungarian law system. The presented countries also support that a common European and non-European stance is the leading in of the opposition, even within those countries, where it was never seen.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316364">
    <w:multiLevelType w:val="hybridMultilevel"/>
    <w:lvl w:ilvl="0" w:tplc="785616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316364">
    <w:abstractNumId w:val="403163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69515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