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DELI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Szegdi</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responsibility of the executive managers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modern economic relations companies are indispensable fictions. However it’s a necessary, that the humans behind the company’s disguise can’t be unattainable and irresponsible. Regulations of member’s and executive officer’s liability were made for this function. In my essay I focus on latter.</w:t>
      </w:r>
    </w:p>
    <w:p>
      <w:pPr>
        <w:widowControl w:val="on"/>
        <w:pBdr/>
        <w:spacing w:before="240" w:after="240" w:line="240" w:lineRule="auto"/>
        <w:ind w:left="0" w:right="0"/>
        <w:jc w:val="left"/>
      </w:pPr>
      <w:r>
        <w:rPr>
          <w:color w:val="000000"/>
          <w:sz w:val="24"/>
          <w:szCs w:val="24"/>
        </w:rPr>
        <w:t xml:space="preserve">On examination I found, that in the business association’s lifetime executive officer’s impeachment can realized in different manner and extent, particularly against third persons. At a company under registration, “in the embryonic age of the company” considering the extraordinary state, the Hungarian legal regulation defend accordingly creditors and also the public interest. By normal operation the company is liable for the damage that executive manager caused. In my opinion the executive manager’s direct impeachment must be exceptional, but it should be used widely, then in the present regulation. The new civil code is expected to expand this availability.</w:t>
      </w:r>
    </w:p>
    <w:p>
      <w:pPr>
        <w:widowControl w:val="on"/>
        <w:pBdr/>
        <w:spacing w:before="240" w:after="240" w:line="240" w:lineRule="auto"/>
        <w:ind w:left="0" w:right="0"/>
        <w:jc w:val="left"/>
      </w:pPr>
      <w:r>
        <w:rPr>
          <w:color w:val="000000"/>
          <w:sz w:val="24"/>
          <w:szCs w:val="24"/>
        </w:rPr>
        <w:t xml:space="preserve">The regulation’s most neuralgic part is the section preceding insolvency (“life threatening state”), in this period is needed a stricter liability formulae, however it’s not a proper way to interconnect this stricter rule to “insolvency threatening situation”, which is nondescript. Pulling the border is also problematic from another point of view: the executives can’t be impeached directly for generate insolvency threatening situation, not even if they induced irreversible progressions and in the nearly future liquidation (the company’s “death”) will be unavoidable. Making abuse to a general breaching formula can’t solve this problem. It would be expedient using factual insolvency instead and expand the scope of wrongful trading for conduct of executives which cause factual insolvency strait.</w:t>
      </w:r>
    </w:p>
    <w:p>
      <w:pPr>
        <w:widowControl w:val="on"/>
        <w:pBdr/>
        <w:spacing w:before="240" w:after="240" w:line="240" w:lineRule="auto"/>
        <w:ind w:left="0" w:right="0"/>
        <w:jc w:val="left"/>
      </w:pPr>
      <w:r>
        <w:rPr>
          <w:color w:val="000000"/>
          <w:sz w:val="24"/>
          <w:szCs w:val="24"/>
        </w:rPr>
        <w:t xml:space="preserve">Effective impeachment rules are just one contrivance for egging executive managers on responsible attitude, but they’re the most important and what is more indispensable instruments.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83795">
    <w:multiLevelType w:val="hybridMultilevel"/>
    <w:lvl w:ilvl="0" w:tplc="75740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83795">
    <w:abstractNumId w:val="25783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885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